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>
      <w:pPr>
        <w:pStyle w:val="19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项目名称"/>
            <w:r>
              <w:rPr>
                <w:rFonts w:hint="eastAsia" w:ascii="宋体" w:hAnsi="宋体"/>
                <w:szCs w:val="21"/>
              </w:rPr>
              <w:t>破土而生</w:t>
            </w:r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  <w:r>
              <w:rPr>
                <w:rFonts w:hint="eastAsia" w:ascii="宋体" w:hAnsi="宋体"/>
                <w:szCs w:val="21"/>
              </w:rPr>
              <w:t>低碳宜居视角下传统民居保护更新设计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1" w:name="地理位置"/>
            <w:r>
              <w:rPr>
                <w:rFonts w:hint="eastAsia"/>
                <w:lang w:val="en-US" w:eastAsia="zh-CN"/>
              </w:rPr>
              <w:t>陕西-</w:t>
            </w:r>
            <w:r>
              <w:t>渭南</w:t>
            </w:r>
            <w:bookmarkEnd w:id="1"/>
            <w:r>
              <w:rPr>
                <w:rFonts w:hint="eastAsia"/>
                <w:lang w:val="en-US" w:eastAsia="zh-CN"/>
              </w:rPr>
              <w:t>-韩城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YB1A60031</w:t>
            </w:r>
            <w:bookmarkStart w:id="55" w:name="_GoBack"/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报告日期"/>
            <w:r>
              <w:rPr>
                <w:rFonts w:ascii="宋体" w:hAnsi="宋体"/>
                <w:szCs w:val="21"/>
              </w:rPr>
              <w:t>2024年1月2日</w:t>
            </w:r>
            <w:bookmarkEnd w:id="2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3" w:name="二维码"/>
      <w:bookmarkEnd w:id="3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4" w:name="软件全称"/>
            <w:r>
              <w:rPr>
                <w:rFonts w:hint="eastAsia" w:ascii="宋体" w:hAnsi="宋体"/>
              </w:rPr>
              <w:t>住区热环境TERA2023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5" w:name="软件版本"/>
            <w:r>
              <w:t>20220401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6" w:name="加密锁号"/>
            <w:bookmarkEnd w:id="6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7" w:name="目录"/>
      <w:bookmarkEnd w:id="7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"_Toc155123655" </w:instrText>
      </w:r>
      <w:r>
        <w:fldChar w:fldCharType="separate"/>
      </w:r>
      <w:r>
        <w:rPr>
          <w:rStyle w:val="25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住区概况</w:t>
      </w:r>
      <w:r>
        <w:tab/>
      </w:r>
      <w:r>
        <w:fldChar w:fldCharType="begin"/>
      </w:r>
      <w:r>
        <w:instrText xml:space="preserve"> PAGEREF _Toc155123655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"_Toc155123656" </w:instrText>
      </w:r>
      <w:r>
        <w:fldChar w:fldCharType="separate"/>
      </w:r>
      <w:r>
        <w:rPr>
          <w:rStyle w:val="25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设计依据</w:t>
      </w:r>
      <w:r>
        <w:tab/>
      </w:r>
      <w:r>
        <w:fldChar w:fldCharType="begin"/>
      </w:r>
      <w:r>
        <w:instrText xml:space="preserve"> PAGEREF _Toc155123656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"_Toc155123657" </w:instrText>
      </w:r>
      <w:r>
        <w:fldChar w:fldCharType="separate"/>
      </w:r>
      <w:r>
        <w:rPr>
          <w:rStyle w:val="25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计算规定</w:t>
      </w:r>
      <w:r>
        <w:tab/>
      </w:r>
      <w:r>
        <w:fldChar w:fldCharType="begin"/>
      </w:r>
      <w:r>
        <w:instrText xml:space="preserve"> PAGEREF _Toc155123657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"_Toc155123658" </w:instrText>
      </w:r>
      <w:r>
        <w:fldChar w:fldCharType="separate"/>
      </w:r>
      <w:r>
        <w:rPr>
          <w:rStyle w:val="25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强制条文</w:t>
      </w:r>
      <w:r>
        <w:tab/>
      </w:r>
      <w:r>
        <w:fldChar w:fldCharType="begin"/>
      </w:r>
      <w:r>
        <w:instrText xml:space="preserve"> PAGEREF _Toc155123658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"_Toc155123659" </w:instrText>
      </w:r>
      <w:r>
        <w:fldChar w:fldCharType="separate"/>
      </w:r>
      <w:r>
        <w:rPr>
          <w:rStyle w:val="25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规定性设计</w:t>
      </w:r>
      <w:r>
        <w:tab/>
      </w:r>
      <w:r>
        <w:fldChar w:fldCharType="begin"/>
      </w:r>
      <w:r>
        <w:instrText xml:space="preserve"> PAGEREF _Toc155123659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"_Toc155123660" </w:instrText>
      </w:r>
      <w:r>
        <w:fldChar w:fldCharType="separate"/>
      </w:r>
      <w:r>
        <w:rPr>
          <w:rStyle w:val="25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计算参数</w:t>
      </w:r>
      <w:r>
        <w:tab/>
      </w:r>
      <w:r>
        <w:fldChar w:fldCharType="begin"/>
      </w:r>
      <w:r>
        <w:instrText xml:space="preserve"> PAGEREF _Toc155123660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"_Toc155123661" </w:instrText>
      </w:r>
      <w:r>
        <w:fldChar w:fldCharType="separate"/>
      </w:r>
      <w:r>
        <w:rPr>
          <w:rStyle w:val="25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典型气象日气象参数</w:t>
      </w:r>
      <w:r>
        <w:tab/>
      </w:r>
      <w:r>
        <w:fldChar w:fldCharType="begin"/>
      </w:r>
      <w:r>
        <w:instrText xml:space="preserve"> PAGEREF _Toc155123661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"_Toc155123662" </w:instrText>
      </w:r>
      <w:r>
        <w:fldChar w:fldCharType="separate"/>
      </w:r>
      <w:r>
        <w:rPr>
          <w:rStyle w:val="25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渗透面夏季逐时蒸发量</w:t>
      </w:r>
      <w:r>
        <w:tab/>
      </w:r>
      <w:r>
        <w:fldChar w:fldCharType="begin"/>
      </w:r>
      <w:r>
        <w:instrText xml:space="preserve"> PAGEREF _Toc155123662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"_Toc155123663" </w:instrText>
      </w:r>
      <w:r>
        <w:fldChar w:fldCharType="separate"/>
      </w:r>
      <w:r>
        <w:rPr>
          <w:rStyle w:val="25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住区指标概览</w:t>
      </w:r>
      <w:r>
        <w:tab/>
      </w:r>
      <w:r>
        <w:fldChar w:fldCharType="begin"/>
      </w:r>
      <w:r>
        <w:instrText xml:space="preserve"> PAGEREF _Toc155123663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"_Toc155123664" </w:instrText>
      </w:r>
      <w:r>
        <w:fldChar w:fldCharType="separate"/>
      </w:r>
      <w:r>
        <w:rPr>
          <w:rStyle w:val="25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强制性设计指标</w:t>
      </w:r>
      <w:r>
        <w:tab/>
      </w:r>
      <w:r>
        <w:fldChar w:fldCharType="begin"/>
      </w:r>
      <w:r>
        <w:instrText xml:space="preserve"> PAGEREF _Toc155123664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"_Toc155123665" </w:instrText>
      </w:r>
      <w:r>
        <w:fldChar w:fldCharType="separate"/>
      </w:r>
      <w:r>
        <w:rPr>
          <w:rStyle w:val="25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平均迎风面积比</w:t>
      </w:r>
      <w:r>
        <w:tab/>
      </w:r>
      <w:r>
        <w:fldChar w:fldCharType="begin"/>
      </w:r>
      <w:r>
        <w:instrText xml:space="preserve"> PAGEREF _Toc155123665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"_Toc155123666" </w:instrText>
      </w:r>
      <w:r>
        <w:fldChar w:fldCharType="separate"/>
      </w:r>
      <w:r>
        <w:rPr>
          <w:rStyle w:val="25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活动场地遮阳覆盖率</w:t>
      </w:r>
      <w:r>
        <w:tab/>
      </w:r>
      <w:r>
        <w:fldChar w:fldCharType="begin"/>
      </w:r>
      <w:r>
        <w:instrText xml:space="preserve"> PAGEREF _Toc155123666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"_Toc155123667" </w:instrText>
      </w:r>
      <w:r>
        <w:fldChar w:fldCharType="separate"/>
      </w:r>
      <w:r>
        <w:rPr>
          <w:rStyle w:val="25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规定性设计指标</w:t>
      </w:r>
      <w:r>
        <w:tab/>
      </w:r>
      <w:r>
        <w:fldChar w:fldCharType="begin"/>
      </w:r>
      <w:r>
        <w:instrText xml:space="preserve"> PAGEREF _Toc155123667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"_Toc155123668" </w:instrText>
      </w:r>
      <w:r>
        <w:fldChar w:fldCharType="separate"/>
      </w:r>
      <w:r>
        <w:rPr>
          <w:rStyle w:val="25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底层通风架空率</w:t>
      </w:r>
      <w:r>
        <w:tab/>
      </w:r>
      <w:r>
        <w:fldChar w:fldCharType="begin"/>
      </w:r>
      <w:r>
        <w:instrText xml:space="preserve"> PAGEREF _Toc155123668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"_Toc155123669" </w:instrText>
      </w:r>
      <w:r>
        <w:fldChar w:fldCharType="separate"/>
      </w:r>
      <w:r>
        <w:rPr>
          <w:rStyle w:val="25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绿化遮阳体叶面积指数</w:t>
      </w:r>
      <w:r>
        <w:tab/>
      </w:r>
      <w:r>
        <w:fldChar w:fldCharType="begin"/>
      </w:r>
      <w:r>
        <w:instrText xml:space="preserve"> PAGEREF _Toc155123669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"_Toc155123670" </w:instrText>
      </w:r>
      <w:r>
        <w:fldChar w:fldCharType="separate"/>
      </w:r>
      <w:r>
        <w:rPr>
          <w:rStyle w:val="25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渗透蒸发指标</w:t>
      </w:r>
      <w:r>
        <w:tab/>
      </w:r>
      <w:r>
        <w:fldChar w:fldCharType="begin"/>
      </w:r>
      <w:r>
        <w:instrText xml:space="preserve"> PAGEREF _Toc155123670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"_Toc155123671" </w:instrText>
      </w:r>
      <w:r>
        <w:fldChar w:fldCharType="separate"/>
      </w:r>
      <w:r>
        <w:rPr>
          <w:rStyle w:val="25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屋面绿化率</w:t>
      </w:r>
      <w:r>
        <w:tab/>
      </w:r>
      <w:r>
        <w:fldChar w:fldCharType="begin"/>
      </w:r>
      <w:r>
        <w:instrText xml:space="preserve"> PAGEREF _Toc155123671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"_Toc155123672" </w:instrText>
      </w:r>
      <w:r>
        <w:fldChar w:fldCharType="separate"/>
      </w:r>
      <w:r>
        <w:rPr>
          <w:rStyle w:val="25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结论</w:t>
      </w:r>
      <w:r>
        <w:tab/>
      </w:r>
      <w:r>
        <w:fldChar w:fldCharType="begin"/>
      </w:r>
      <w:r>
        <w:instrText xml:space="preserve"> PAGEREF _Toc155123672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8" w:name="_Toc155123655"/>
      <w:r>
        <w:rPr>
          <w:rFonts w:hint="eastAsia"/>
        </w:rPr>
        <w:t>住区概况</w:t>
      </w:r>
      <w:bookmarkEnd w:id="8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9" w:name="工程名称1"/>
            <w:r>
              <w:rPr>
                <w:rFonts w:hint="eastAsia" w:ascii="宋体" w:hAnsi="宋体"/>
              </w:rPr>
              <w:t>破土而生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0" w:name="工程地点"/>
            <w:r>
              <w:t>渭南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1" w:name="纬度"/>
            <w:r>
              <w:t>34.50</w:t>
            </w:r>
            <w:bookmarkEnd w:id="11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2" w:name="经度"/>
            <w:r>
              <w:t>109.50</w:t>
            </w:r>
            <w:bookmarkEnd w:id="12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气候区"/>
            <w:r>
              <w:t>IIB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主导风向"/>
            <w:r>
              <w:t>东</w:t>
            </w:r>
            <w:bookmarkEnd w:id="14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5" w:name="总图鸟瞰图"/>
      <w:bookmarkEnd w:id="15"/>
      <w:r>
        <w:drawing>
          <wp:inline distT="0" distB="0" distL="0" distR="0">
            <wp:extent cx="5667375" cy="38957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bookmarkStart w:id="16" w:name="OLE_LINK3"/>
      <w:bookmarkStart w:id="17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6"/>
      <w:bookmarkEnd w:id="17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8" w:name="总图平面图"/>
      <w:bookmarkEnd w:id="18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19" w:name="_Toc155123656"/>
      <w:bookmarkStart w:id="20" w:name="TitleFormat"/>
      <w:r>
        <w:rPr>
          <w:rFonts w:hint="eastAsia"/>
        </w:rPr>
        <w:t>设计依据</w:t>
      </w:r>
      <w:bookmarkEnd w:id="19"/>
    </w:p>
    <w:p>
      <w:pPr>
        <w:widowControl w:val="0"/>
        <w:jc w:val="both"/>
        <w:rPr>
          <w:kern w:val="2"/>
          <w:szCs w:val="24"/>
          <w:lang w:val="en-US"/>
        </w:rPr>
      </w:pPr>
      <w:bookmarkStart w:id="21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0"/>
      <w:bookmarkEnd w:id="21"/>
    </w:p>
    <w:p>
      <w:pPr>
        <w:pStyle w:val="2"/>
      </w:pPr>
      <w:bookmarkStart w:id="22" w:name="_Toc155123657"/>
      <w:r>
        <w:rPr>
          <w:rFonts w:hint="eastAsia"/>
        </w:rPr>
        <w:t>计算规定</w:t>
      </w:r>
      <w:bookmarkEnd w:id="22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>
      <w:pPr>
        <w:pStyle w:val="4"/>
      </w:pPr>
      <w:bookmarkStart w:id="23" w:name="_Toc155123658"/>
      <w:r>
        <w:rPr>
          <w:rFonts w:hint="eastAsia"/>
        </w:rPr>
        <w:t>强制条文</w:t>
      </w:r>
      <w:bookmarkEnd w:id="23"/>
    </w:p>
    <w:p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>
      <w:pPr>
        <w:pStyle w:val="4"/>
      </w:pPr>
      <w:bookmarkStart w:id="24" w:name="_Toc155123659"/>
      <w:r>
        <w:rPr>
          <w:rFonts w:hint="eastAsia"/>
        </w:rPr>
        <w:t>规定性设计</w:t>
      </w:r>
      <w:bookmarkEnd w:id="24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5" w:name="_Toc155123660"/>
      <w:r>
        <w:rPr>
          <w:rFonts w:hint="eastAsia"/>
        </w:rPr>
        <w:t>计算参数</w:t>
      </w:r>
      <w:bookmarkEnd w:id="25"/>
    </w:p>
    <w:p>
      <w:pPr>
        <w:pStyle w:val="4"/>
      </w:pPr>
      <w:bookmarkStart w:id="26" w:name="_Toc155123661"/>
      <w:r>
        <w:rPr>
          <w:rFonts w:hint="eastAsia"/>
        </w:rPr>
        <w:t>典型气象日气象参数</w:t>
      </w:r>
      <w:bookmarkEnd w:id="2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22.0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</w:t>
            </w:r>
          </w:p>
        </w:tc>
        <w:tc>
          <w:tcPr>
            <w:tcW w:w="1341" w:type="dxa"/>
            <w:vMerge w:val="restart"/>
            <w:vAlign w:val="center"/>
          </w:tcPr>
          <w:p>
            <w:pPr>
              <w:jc w:val="center"/>
            </w:pPr>
            <w:r>
              <w:t>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21.3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36.11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36.11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21.3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158.33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111.11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22.1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297.22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183.33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444.44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580.56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308.33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686.11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350.00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27.0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747.22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372.22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750.00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372.22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700.00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352.78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600.00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316.67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469.44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261.11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29.1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322.22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194.44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28.6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177.78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116.67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28.0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52.78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36.11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26.0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250.93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135.88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7" w:name="气象参数"/>
      <w:bookmarkEnd w:id="27"/>
    </w:p>
    <w:p>
      <w:pPr>
        <w:pStyle w:val="4"/>
      </w:pPr>
      <w:bookmarkStart w:id="28" w:name="_Toc155123662"/>
      <w:r>
        <w:rPr>
          <w:rFonts w:hint="eastAsia"/>
        </w:rPr>
        <w:t>渗透面夏季逐时蒸发量</w:t>
      </w:r>
      <w:bookmarkEnd w:id="2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6.16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蒸发量参数"/>
      <w:bookmarkEnd w:id="29"/>
    </w:p>
    <w:p>
      <w:pPr>
        <w:pStyle w:val="2"/>
      </w:pPr>
      <w:bookmarkStart w:id="30" w:name="_Toc155123663"/>
      <w:r>
        <w:rPr>
          <w:rFonts w:hint="eastAsia"/>
        </w:rPr>
        <w:t>住区指标概览</w:t>
      </w:r>
      <w:bookmarkEnd w:id="3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1" w:name="住区指标概览"/>
      <w:bookmarkEnd w:id="31"/>
    </w:p>
    <w:p>
      <w:pPr>
        <w:pStyle w:val="2"/>
      </w:pPr>
      <w:bookmarkStart w:id="32" w:name="_Toc155123664"/>
      <w:r>
        <w:rPr>
          <w:rFonts w:hint="eastAsia"/>
        </w:rPr>
        <w:t>强制性</w:t>
      </w:r>
      <w:r>
        <w:t>设计指标</w:t>
      </w:r>
      <w:bookmarkEnd w:id="32"/>
    </w:p>
    <w:p>
      <w:pPr>
        <w:pStyle w:val="4"/>
      </w:pPr>
      <w:bookmarkStart w:id="33" w:name="_Toc155123665"/>
      <w:r>
        <w:rPr>
          <w:rFonts w:hint="eastAsia"/>
        </w:rPr>
        <w:t>平均迎风面积比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《城市居住区热环境设计标准》4.1.1条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平均迎风面积比≤0.85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平均迎风面积比"/>
      <w:bookmarkEnd w:id="34"/>
    </w:p>
    <w:p>
      <w:pPr>
        <w:pStyle w:val="4"/>
      </w:pPr>
      <w:bookmarkStart w:id="35" w:name="_Toc155123666"/>
      <w:r>
        <w:rPr>
          <w:rFonts w:hint="eastAsia"/>
        </w:rPr>
        <w:t>活动场地遮阳覆盖率</w:t>
      </w:r>
      <w:bookmarkEnd w:id="3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覆盖率限值(%)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tcW w:w="1866" w:type="dxa"/>
            <w:vAlign w:val="center"/>
          </w:tcPr>
          <w:p>
            <w:r>
              <w:t>3.1</w:t>
            </w:r>
          </w:p>
        </w:tc>
        <w:tc>
          <w:tcPr>
            <w:tcW w:w="1866" w:type="dxa"/>
            <w:vAlign w:val="center"/>
          </w:tcPr>
          <w:p>
            <w:r>
              <w:t>15.3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20</w:t>
            </w:r>
          </w:p>
        </w:tc>
        <w:tc>
          <w:tcPr>
            <w:tcW w:w="1866" w:type="dxa"/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《城市居住区热环境设计标准》4.2.1条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各类活动场地遮阳覆盖率不得低于标准要求限值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6" w:name="活动场地遮阳覆盖率"/>
      <w:bookmarkEnd w:id="36"/>
    </w:p>
    <w:p>
      <w:pPr>
        <w:pStyle w:val="2"/>
      </w:pPr>
      <w:bookmarkStart w:id="37" w:name="_Toc155123667"/>
      <w:r>
        <w:rPr>
          <w:rFonts w:hint="eastAsia"/>
        </w:rPr>
        <w:t>规定性设计指标</w:t>
      </w:r>
      <w:bookmarkEnd w:id="37"/>
    </w:p>
    <w:p>
      <w:pPr>
        <w:pStyle w:val="4"/>
      </w:pPr>
      <w:bookmarkStart w:id="38" w:name="_Toc155123668"/>
      <w:r>
        <w:rPr>
          <w:rFonts w:hint="eastAsia"/>
        </w:rPr>
        <w:t>底层通风架空率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/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15971.2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9" w:name="底层通风架空率"/>
      <w:bookmarkEnd w:id="39"/>
    </w:p>
    <w:p>
      <w:pPr>
        <w:pStyle w:val="4"/>
      </w:pPr>
      <w:bookmarkStart w:id="40" w:name="_Toc155123669"/>
      <w:r>
        <w:rPr>
          <w:rFonts w:hint="eastAsia"/>
        </w:rPr>
        <w:t>绿化遮阳体叶面积指数</w:t>
      </w:r>
      <w:bookmarkEnd w:id="4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tcW w:w="3110" w:type="dxa"/>
            <w:vAlign w:val="center"/>
          </w:tcPr>
          <w:p>
            <w:r>
              <w:t>LAI &gt;= 3</w:t>
            </w:r>
          </w:p>
        </w:tc>
        <w:tc>
          <w:tcPr>
            <w:tcW w:w="3110" w:type="dxa"/>
            <w:vAlign w:val="center"/>
          </w:tcPr>
          <w:p>
            <w:r>
              <w:t>324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LAI &lt; 3</w:t>
            </w:r>
          </w:p>
        </w:tc>
        <w:tc>
          <w:tcPr>
            <w:tcW w:w="3110" w:type="dxa"/>
            <w:vAlign w:val="center"/>
          </w:tcPr>
          <w:p>
            <w:r>
              <w:t>253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tcW w:w="3110" w:type="dxa"/>
            <w:vAlign w:val="center"/>
          </w:tcPr>
          <w:p>
            <w:r>
              <w:t>LAI &gt;= 3</w:t>
            </w:r>
          </w:p>
        </w:tc>
        <w:tc>
          <w:tcPr>
            <w:tcW w:w="3110" w:type="dxa"/>
            <w:vAlign w:val="center"/>
          </w:tcPr>
          <w:p>
            <w:r>
              <w:t>134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LAI &lt; 3</w:t>
            </w:r>
          </w:p>
        </w:tc>
        <w:tc>
          <w:tcPr>
            <w:tcW w:w="3110" w:type="dxa"/>
            <w:vAlign w:val="center"/>
          </w:tcPr>
          <w:p>
            <w:r>
              <w:t>110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1" w:name="绿化遮阳体叶面积指数"/>
      <w:bookmarkEnd w:id="41"/>
    </w:p>
    <w:p>
      <w:pPr>
        <w:pStyle w:val="4"/>
      </w:pPr>
      <w:bookmarkStart w:id="42" w:name="_Toc155123670"/>
      <w:r>
        <w:rPr>
          <w:rFonts w:hint="eastAsia"/>
        </w:rPr>
        <w:t>渗透蒸发指标</w:t>
      </w:r>
      <w:bookmarkEnd w:id="4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tcW w:w="1866" w:type="dxa"/>
            <w:vAlign w:val="center"/>
          </w:tcPr>
          <w:p>
            <w:r>
              <w:t>15</w:t>
            </w:r>
          </w:p>
        </w:tc>
        <w:tc>
          <w:tcPr>
            <w:tcW w:w="1866" w:type="dxa"/>
            <w:vAlign w:val="center"/>
          </w:tcPr>
          <w:p>
            <w:r>
              <w:t>1.000</w:t>
            </w:r>
          </w:p>
        </w:tc>
        <w:tc>
          <w:tcPr>
            <w:tcW w:w="1866" w:type="dxa"/>
            <w:vAlign w:val="center"/>
          </w:tcPr>
          <w:p>
            <w:r>
              <w:t>0.00</w:t>
            </w:r>
          </w:p>
        </w:tc>
        <w:tc>
          <w:tcPr>
            <w:tcW w:w="186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866" w:type="dxa"/>
            <w:vAlign w:val="center"/>
          </w:tcPr>
          <w:p>
            <w:r>
              <w:t>15</w:t>
            </w:r>
          </w:p>
        </w:tc>
        <w:tc>
          <w:tcPr>
            <w:tcW w:w="1866" w:type="dxa"/>
            <w:vAlign w:val="center"/>
          </w:tcPr>
          <w:p>
            <w:r>
              <w:t>1.0</w:t>
            </w:r>
          </w:p>
        </w:tc>
        <w:tc>
          <w:tcPr>
            <w:tcW w:w="1866" w:type="dxa"/>
            <w:vAlign w:val="center"/>
          </w:tcPr>
          <w:p>
            <w:r>
              <w:t>0.00</w:t>
            </w:r>
          </w:p>
        </w:tc>
        <w:tc>
          <w:tcPr>
            <w:tcW w:w="1866" w:type="dxa"/>
            <w:vAlign w:val="center"/>
          </w:tcPr>
          <w:p>
            <w:r>
              <w:t>0.00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3" w:name="渗透蒸发指标"/>
      <w:bookmarkEnd w:id="4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tcW w:w="3110" w:type="dxa"/>
            <w:vAlign w:val="center"/>
          </w:tcPr>
          <w:p>
            <w:r>
              <w:t>67</w:t>
            </w:r>
          </w:p>
        </w:tc>
        <w:tc>
          <w:tcPr>
            <w:tcW w:w="311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2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tcW w:w="3110" w:type="dxa"/>
            <w:vAlign w:val="center"/>
          </w:tcPr>
          <w:p>
            <w:r>
              <w:t>3.1</w:t>
            </w:r>
          </w:p>
        </w:tc>
        <w:tc>
          <w:tcPr>
            <w:tcW w:w="3110" w:type="dxa"/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tcW w:w="3110" w:type="dxa"/>
            <w:vAlign w:val="center"/>
          </w:tcPr>
          <w:p>
            <w:r>
              <w:t>1.8</w:t>
            </w:r>
          </w:p>
        </w:tc>
        <w:tc>
          <w:tcPr>
            <w:tcW w:w="3110" w:type="dxa"/>
            <w:vAlign w:val="center"/>
          </w:tcPr>
          <w:p>
            <w:r>
              <w:t>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4" w:name="_Toc155123671"/>
      <w:r>
        <w:rPr>
          <w:rFonts w:hint="eastAsia"/>
        </w:rPr>
        <w:t>屋面绿化率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/>
        </w:tc>
        <w:tc>
          <w:tcPr>
            <w:tcW w:w="1866" w:type="dxa"/>
            <w:vAlign w:val="center"/>
          </w:tcPr>
          <w:p>
            <w:r>
              <w:t>15971.2</w:t>
            </w:r>
          </w:p>
        </w:tc>
        <w:tc>
          <w:tcPr>
            <w:tcW w:w="1866" w:type="dxa"/>
            <w:vAlign w:val="center"/>
          </w:tcPr>
          <w:p>
            <w:r>
              <w:t>9582.72</w:t>
            </w:r>
          </w:p>
        </w:tc>
        <w:tc>
          <w:tcPr>
            <w:tcW w:w="1866" w:type="dxa"/>
            <w:vAlign w:val="center"/>
          </w:tcPr>
          <w:p>
            <w:r>
              <w:t>15971.2</w:t>
            </w:r>
          </w:p>
        </w:tc>
        <w:tc>
          <w:tcPr>
            <w:tcW w:w="1866" w:type="dxa"/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866" w:type="dxa"/>
            <w:vAlign w:val="center"/>
          </w:tcPr>
          <w:p>
            <w:r>
              <w:t>15971.2</w:t>
            </w:r>
          </w:p>
        </w:tc>
        <w:tc>
          <w:tcPr>
            <w:tcW w:w="1866" w:type="dxa"/>
            <w:vAlign w:val="center"/>
          </w:tcPr>
          <w:p>
            <w:r>
              <w:t>9582.72</w:t>
            </w:r>
          </w:p>
        </w:tc>
        <w:tc>
          <w:tcPr>
            <w:tcW w:w="1866" w:type="dxa"/>
            <w:vAlign w:val="center"/>
          </w:tcPr>
          <w:p>
            <w:r>
              <w:t>15971.2</w:t>
            </w:r>
          </w:p>
        </w:tc>
        <w:tc>
          <w:tcPr>
            <w:tcW w:w="1866" w:type="dxa"/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5" w:name="屋面绿化率"/>
      <w:bookmarkEnd w:id="45"/>
    </w:p>
    <w:p>
      <w:pPr>
        <w:pStyle w:val="2"/>
      </w:pPr>
      <w:bookmarkStart w:id="46" w:name="_Toc155123672"/>
      <w:r>
        <w:rPr>
          <w:rFonts w:hint="eastAsia"/>
        </w:rPr>
        <w:t>结论</w:t>
      </w:r>
      <w:bookmarkEnd w:id="4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47" w:name="结论"/>
            <w:bookmarkEnd w:id="47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48" w:name="平均迎风面积比结论"/>
            <w:r>
              <w:rPr>
                <w:rFonts w:hint="eastAsia"/>
                <w:b/>
              </w:rPr>
              <w:t>满足</w:t>
            </w:r>
            <w:bookmarkEnd w:id="48"/>
          </w:p>
        </w:tc>
        <w:tc>
          <w:tcPr>
            <w:tcW w:w="2800" w:type="dxa"/>
            <w:vMerge w:val="restart"/>
            <w:vAlign w:val="center"/>
          </w:tcPr>
          <w:p>
            <w:r>
              <w:rPr>
                <w:b/>
              </w:rPr>
              <w:t>强制条文，必须满足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49" w:name="活动场地遮阳覆盖率结论"/>
            <w:r>
              <w:rPr>
                <w:rFonts w:hint="eastAsia"/>
                <w:b/>
              </w:rPr>
              <w:t>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50" w:name="底层通风架空率结论"/>
            <w: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bookmarkStart w:id="51" w:name="绿化遮阳体叶面积指数结论"/>
            <w:r>
              <w:t>满足</w:t>
            </w:r>
            <w:bookmarkEnd w:id="51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bookmarkStart w:id="52" w:name="渗透蒸发指标结论"/>
            <w: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bookmarkStart w:id="53" w:name="屋面绿化率结论"/>
            <w:r>
              <w:t>满足</w:t>
            </w:r>
            <w:bookmarkEnd w:id="53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bookmarkStart w:id="54" w:name="总结论"/>
            <w:r>
              <w:rPr>
                <w:rFonts w:hint="eastAsia"/>
                <w:b/>
              </w:rPr>
              <w:t>满足</w:t>
            </w:r>
            <w:bookmarkEnd w:id="54"/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jNzQ0ODRmYjhiYzE2OTdkMzMzMzk2ZTU2ZTU1ZDkifQ=="/>
  </w:docVars>
  <w:rsids>
    <w:rsidRoot w:val="00D95990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446A"/>
    <w:rsid w:val="0014776A"/>
    <w:rsid w:val="001541C5"/>
    <w:rsid w:val="0016280A"/>
    <w:rsid w:val="00165EB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343F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1647D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3AD7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D1B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D6DC7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5990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4E75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22"/>
    <w:rPr>
      <w:b/>
      <w:bCs/>
    </w:rPr>
  </w:style>
  <w:style w:type="character" w:styleId="24">
    <w:name w:val="page number"/>
    <w:basedOn w:val="22"/>
    <w:autoRedefine/>
    <w:qFormat/>
    <w:uiPriority w:val="0"/>
  </w:style>
  <w:style w:type="character" w:styleId="25">
    <w:name w:val="Hyperlink"/>
    <w:autoRedefine/>
    <w:qFormat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autoRedefine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Company>ths</Company>
  <Pages>1</Pages>
  <Words>766</Words>
  <Characters>4370</Characters>
  <Lines>36</Lines>
  <Paragraphs>10</Paragraphs>
  <TotalTime>0</TotalTime>
  <ScaleCrop>false</ScaleCrop>
  <LinksUpToDate>false</LinksUpToDate>
  <CharactersWithSpaces>5126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2024-01-02T13:58:00Z</dcterms:created>
  <dc:creator>Hyper PC</dc:creator>
  <cp:lastModifiedBy>星河</cp:lastModifiedBy>
  <cp:lastPrinted>2411-12-31T16:00:00Z</cp:lastPrinted>
  <dcterms:modified xsi:type="dcterms:W3CDTF">2024-01-07T13:51:43Z</dcterms:modified>
  <dc:title>住区热环境规定性设计计算书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B92E107168E3466CA70462F2E73C2A07_12</vt:lpwstr>
  </property>
</Properties>
</file>