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>
      <w:pPr>
        <w:widowControl w:val="0"/>
        <w:spacing w:after="312" w:afterLines="100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室内舒适温度达标比例</w:t>
      </w: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  <w:bookmarkEnd w:id="0"/>
    </w:p>
    <w:tbl>
      <w:tblPr>
        <w:tblStyle w:val="2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780" w:type="dxa"/>
          </w:tcPr>
          <w:p>
            <w:pPr>
              <w:pStyle w:val="17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破土而生</w:t>
            </w:r>
            <w:bookmarkEnd w:id="1"/>
            <w:r>
              <w:rPr>
                <w:rFonts w:ascii="宋体" w:hAnsi="宋体" w:eastAsia="宋体" w:cs="宋体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szCs w:val="21"/>
              </w:rPr>
              <w:t>低碳宜居视角下传统民居保护更新设计</w:t>
            </w:r>
            <w:bookmarkStart w:id="64" w:name="_GoBack"/>
            <w:bookmarkEnd w:id="6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t>陕西-渭南-韩城</w:t>
            </w:r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  <w:r>
              <w:rPr>
                <w:rFonts w:ascii="宋体" w:hAnsi="宋体"/>
                <w:szCs w:val="21"/>
              </w:rPr>
              <w:t>YB1A60031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2024年01月05日</w:t>
            </w:r>
            <w:bookmarkEnd w:id="6"/>
          </w:p>
        </w:tc>
      </w:tr>
    </w:tbl>
    <w:p>
      <w:pPr>
        <w:spacing w:line="240" w:lineRule="auto"/>
        <w:rPr>
          <w:rFonts w:ascii="宋体" w:hAnsi="宋体"/>
          <w:lang w:val="en-US"/>
        </w:rPr>
      </w:pPr>
    </w:p>
    <w:p>
      <w:pPr>
        <w:spacing w:line="240" w:lineRule="auto"/>
        <w:rPr>
          <w:rFonts w:ascii="宋体" w:hAnsi="宋体"/>
          <w:lang w:val="en-US"/>
        </w:rPr>
      </w:pPr>
    </w:p>
    <w:p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bookmarkEnd w:id="7"/>
      <w:r>
        <w:drawing>
          <wp:inline distT="0" distB="0" distL="0" distR="0">
            <wp:extent cx="1628775" cy="1628775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Style w:val="21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1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室内热舒适评价ITES202</w:t>
            </w:r>
            <w:r>
              <w:rPr>
                <w:rFonts w:ascii="宋体" w:hAnsi="宋体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软件版本</w:t>
            </w:r>
          </w:p>
        </w:tc>
        <w:tc>
          <w:tcPr>
            <w:tcW w:w="4139" w:type="dxa"/>
            <w:tcBorders>
              <w:bottom w:val="single" w:color="auto" w:sz="4" w:space="0"/>
            </w:tcBorders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软件版本"/>
            <w:r>
              <w:rPr>
                <w:rFonts w:ascii="宋体" w:hAnsi="宋体"/>
              </w:rPr>
              <w:t>20220808（SP1）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研发单位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ascii="宋体" w:hAnsi="宋体"/>
              </w:rPr>
              <w:t>北京绿建软件</w:t>
            </w:r>
            <w:r>
              <w:rPr>
                <w:rFonts w:hint="eastAsia" w:ascii="宋体" w:hAnsi="宋体"/>
              </w:rPr>
              <w:t>股份</w:t>
            </w:r>
            <w:r>
              <w:rPr>
                <w:rFonts w:ascii="宋体" w:hAnsi="宋体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正版授权码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加密锁号"/>
            <w:r>
              <w:t>T18069898922</w:t>
            </w:r>
            <w:bookmarkEnd w:id="9"/>
          </w:p>
        </w:tc>
      </w:tr>
    </w:tbl>
    <w:p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24"/>
          <w:szCs w:val="32"/>
        </w:rPr>
        <w:t>目  录</w:t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bookmarkStart w:id="10" w:name="目录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"_Toc155345327" </w:instrText>
      </w:r>
      <w:r>
        <w:fldChar w:fldCharType="separate"/>
      </w:r>
      <w:r>
        <w:rPr>
          <w:rStyle w:val="26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6"/>
        </w:rPr>
        <w:t>项目概况</w:t>
      </w:r>
      <w:r>
        <w:tab/>
      </w:r>
      <w:r>
        <w:fldChar w:fldCharType="begin"/>
      </w:r>
      <w:r>
        <w:instrText xml:space="preserve"> PAGEREF _Toc155345327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"_Toc155345328" </w:instrText>
      </w:r>
      <w:r>
        <w:fldChar w:fldCharType="separate"/>
      </w:r>
      <w:r>
        <w:rPr>
          <w:rStyle w:val="26"/>
          <w:lang w:val="en-GB"/>
        </w:rPr>
        <w:t>1.1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平面图</w:t>
      </w:r>
      <w:r>
        <w:tab/>
      </w:r>
      <w:r>
        <w:fldChar w:fldCharType="begin"/>
      </w:r>
      <w:r>
        <w:instrText xml:space="preserve"> PAGEREF _Toc155345328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"_Toc155345329" </w:instrText>
      </w:r>
      <w:r>
        <w:fldChar w:fldCharType="separate"/>
      </w:r>
      <w:r>
        <w:rPr>
          <w:rStyle w:val="26"/>
          <w:lang w:val="en-GB"/>
        </w:rPr>
        <w:t>1.2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三维视图</w:t>
      </w:r>
      <w:r>
        <w:tab/>
      </w:r>
      <w:r>
        <w:fldChar w:fldCharType="begin"/>
      </w:r>
      <w:r>
        <w:instrText xml:space="preserve"> PAGEREF _Toc155345329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"_Toc155345330" </w:instrText>
      </w:r>
      <w:r>
        <w:fldChar w:fldCharType="separate"/>
      </w:r>
      <w:r>
        <w:rPr>
          <w:rStyle w:val="26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6"/>
        </w:rPr>
        <w:t>计算依据</w:t>
      </w:r>
      <w:r>
        <w:tab/>
      </w:r>
      <w:r>
        <w:fldChar w:fldCharType="begin"/>
      </w:r>
      <w:r>
        <w:instrText xml:space="preserve"> PAGEREF _Toc155345330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"_Toc155345331" </w:instrText>
      </w:r>
      <w:r>
        <w:fldChar w:fldCharType="separate"/>
      </w:r>
      <w:r>
        <w:rPr>
          <w:rStyle w:val="26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6"/>
        </w:rPr>
        <w:t>参考标准</w:t>
      </w:r>
      <w:r>
        <w:tab/>
      </w:r>
      <w:r>
        <w:fldChar w:fldCharType="begin"/>
      </w:r>
      <w:r>
        <w:instrText xml:space="preserve"> PAGEREF _Toc155345331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"_Toc155345332" </w:instrText>
      </w:r>
      <w:r>
        <w:fldChar w:fldCharType="separate"/>
      </w:r>
      <w:r>
        <w:rPr>
          <w:rStyle w:val="26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6"/>
        </w:rPr>
        <w:t>计算方法</w:t>
      </w:r>
      <w:r>
        <w:tab/>
      </w:r>
      <w:r>
        <w:fldChar w:fldCharType="begin"/>
      </w:r>
      <w:r>
        <w:instrText xml:space="preserve"> PAGEREF _Toc155345332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"_Toc155345333" </w:instrText>
      </w:r>
      <w:r>
        <w:fldChar w:fldCharType="separate"/>
      </w:r>
      <w:r>
        <w:rPr>
          <w:rStyle w:val="26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参数定义</w:t>
      </w:r>
      <w:r>
        <w:tab/>
      </w:r>
      <w:r>
        <w:fldChar w:fldCharType="begin"/>
      </w:r>
      <w:r>
        <w:instrText xml:space="preserve"> PAGEREF _Toc155345333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"_Toc155345334" </w:instrText>
      </w:r>
      <w:r>
        <w:fldChar w:fldCharType="separate"/>
      </w:r>
      <w:r>
        <w:rPr>
          <w:rStyle w:val="26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计算流程</w:t>
      </w:r>
      <w:r>
        <w:tab/>
      </w:r>
      <w:r>
        <w:fldChar w:fldCharType="begin"/>
      </w:r>
      <w:r>
        <w:instrText xml:space="preserve"> PAGEREF _Toc155345334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"_Toc155345335" </w:instrText>
      </w:r>
      <w:r>
        <w:fldChar w:fldCharType="separate"/>
      </w:r>
      <w:r>
        <w:rPr>
          <w:rStyle w:val="26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计算参数</w:t>
      </w:r>
      <w:r>
        <w:tab/>
      </w:r>
      <w:r>
        <w:fldChar w:fldCharType="begin"/>
      </w:r>
      <w:r>
        <w:instrText xml:space="preserve"> PAGEREF _Toc155345335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"_Toc155345336" </w:instrText>
      </w:r>
      <w:r>
        <w:fldChar w:fldCharType="separate"/>
      </w:r>
      <w:r>
        <w:rPr>
          <w:rStyle w:val="26"/>
          <w:lang w:val="en-GB"/>
        </w:rPr>
        <w:t>4.3.1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室外月平均温度</w:t>
      </w:r>
      <w:r>
        <w:tab/>
      </w:r>
      <w:r>
        <w:fldChar w:fldCharType="begin"/>
      </w:r>
      <w:r>
        <w:instrText xml:space="preserve"> PAGEREF _Toc155345336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"_Toc155345337" </w:instrText>
      </w:r>
      <w:r>
        <w:fldChar w:fldCharType="separate"/>
      </w:r>
      <w:r>
        <w:rPr>
          <w:rStyle w:val="26"/>
          <w:lang w:val="en-GB"/>
        </w:rPr>
        <w:t>4.3.2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室内热舒适温度</w:t>
      </w:r>
      <w:r>
        <w:tab/>
      </w:r>
      <w:r>
        <w:fldChar w:fldCharType="begin"/>
      </w:r>
      <w:r>
        <w:instrText xml:space="preserve"> PAGEREF _Toc155345337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"_Toc155345338" </w:instrText>
      </w:r>
      <w:r>
        <w:fldChar w:fldCharType="separate"/>
      </w:r>
      <w:r>
        <w:rPr>
          <w:rStyle w:val="26"/>
          <w:lang w:val="en-GB"/>
        </w:rPr>
        <w:t>4.3.3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参评时间段</w:t>
      </w:r>
      <w:r>
        <w:tab/>
      </w:r>
      <w:r>
        <w:fldChar w:fldCharType="begin"/>
      </w:r>
      <w:r>
        <w:instrText xml:space="preserve"> PAGEREF _Toc155345338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"_Toc155345339" </w:instrText>
      </w:r>
      <w:r>
        <w:fldChar w:fldCharType="separate"/>
      </w:r>
      <w:r>
        <w:rPr>
          <w:rStyle w:val="26"/>
          <w:lang w:val="en-GB"/>
        </w:rPr>
        <w:t>4.3.4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围护结构热工性能参数</w:t>
      </w:r>
      <w:r>
        <w:tab/>
      </w:r>
      <w:r>
        <w:fldChar w:fldCharType="begin"/>
      </w:r>
      <w:r>
        <w:instrText xml:space="preserve"> PAGEREF _Toc155345339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"_Toc155345340" </w:instrText>
      </w:r>
      <w:r>
        <w:fldChar w:fldCharType="separate"/>
      </w:r>
      <w:r>
        <w:rPr>
          <w:rStyle w:val="26"/>
          <w:lang w:val="en-GB"/>
        </w:rPr>
        <w:t>4.3.5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房间类型参数</w:t>
      </w:r>
      <w:r>
        <w:tab/>
      </w:r>
      <w:r>
        <w:fldChar w:fldCharType="begin"/>
      </w:r>
      <w:r>
        <w:instrText xml:space="preserve"> PAGEREF _Toc155345340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"_Toc155345341" </w:instrText>
      </w:r>
      <w:r>
        <w:fldChar w:fldCharType="separate"/>
      </w:r>
      <w:r>
        <w:rPr>
          <w:rStyle w:val="26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6"/>
        </w:rPr>
        <w:t>结果分析</w:t>
      </w:r>
      <w:r>
        <w:tab/>
      </w:r>
      <w:r>
        <w:fldChar w:fldCharType="begin"/>
      </w:r>
      <w:r>
        <w:instrText xml:space="preserve"> PAGEREF _Toc155345341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"_Toc155345342" </w:instrText>
      </w:r>
      <w:r>
        <w:fldChar w:fldCharType="separate"/>
      </w:r>
      <w:r>
        <w:rPr>
          <w:rStyle w:val="26"/>
          <w:lang w:val="en-GB"/>
        </w:rPr>
        <w:t>5.1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6"/>
        </w:rPr>
        <w:t>室内适应性热舒适温度达标比例统计</w:t>
      </w:r>
      <w:r>
        <w:tab/>
      </w:r>
      <w:r>
        <w:fldChar w:fldCharType="begin"/>
      </w:r>
      <w:r>
        <w:instrText xml:space="preserve"> PAGEREF _Toc155345342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19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"_Toc155345343" </w:instrText>
      </w:r>
      <w:r>
        <w:fldChar w:fldCharType="separate"/>
      </w:r>
      <w:r>
        <w:rPr>
          <w:rStyle w:val="26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6"/>
        </w:rPr>
        <w:t>结论</w:t>
      </w:r>
      <w:r>
        <w:tab/>
      </w:r>
      <w:r>
        <w:fldChar w:fldCharType="begin"/>
      </w:r>
      <w:r>
        <w:instrText xml:space="preserve"> PAGEREF _Toc155345343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19"/>
        <w:spacing w:line="240" w:lineRule="auto"/>
      </w:pPr>
      <w:r>
        <w:fldChar w:fldCharType="end"/>
      </w:r>
      <w:bookmarkEnd w:id="10"/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tabs>
          <w:tab w:val="left" w:pos="8137"/>
        </w:tabs>
        <w:rPr>
          <w:lang w:val="en-US"/>
        </w:rPr>
      </w:pPr>
      <w:r>
        <w:rPr>
          <w:lang w:val="en-US"/>
        </w:rPr>
        <w:tab/>
      </w:r>
    </w:p>
    <w:p>
      <w:pPr>
        <w:tabs>
          <w:tab w:val="left" w:pos="8137"/>
        </w:tabs>
        <w:rPr>
          <w:lang w:val="en-US"/>
        </w:rPr>
        <w:sectPr>
          <w:footerReference r:id="rId7" w:type="first"/>
          <w:headerReference r:id="rId5" w:type="default"/>
          <w:footerReference r:id="rId6" w:type="default"/>
          <w:pgSz w:w="11906" w:h="16838"/>
          <w:pgMar w:top="1440" w:right="1558" w:bottom="1440" w:left="1418" w:header="850" w:footer="170" w:gutter="0"/>
          <w:cols w:space="425" w:num="1"/>
          <w:titlePg/>
          <w:docGrid w:type="lines" w:linePitch="312" w:charSpace="0"/>
        </w:sectPr>
      </w:pPr>
      <w:r>
        <w:rPr>
          <w:lang w:val="en-US"/>
        </w:rPr>
        <w:tab/>
      </w:r>
    </w:p>
    <w:p>
      <w:pPr>
        <w:pStyle w:val="2"/>
      </w:pPr>
      <w:bookmarkStart w:id="11" w:name="_Toc155345327"/>
      <w:bookmarkStart w:id="12" w:name="_Toc452108759"/>
      <w:r>
        <w:rPr>
          <w:rFonts w:hint="eastAsia"/>
        </w:rPr>
        <w:t>项目概况</w:t>
      </w:r>
      <w:bookmarkEnd w:id="11"/>
      <w:bookmarkEnd w:id="12"/>
    </w:p>
    <w:p>
      <w:pPr>
        <w:pStyle w:val="3"/>
        <w:ind w:firstLine="420"/>
        <w:rPr>
          <w:lang w:val="en-US"/>
        </w:rPr>
      </w:pPr>
      <w:bookmarkStart w:id="13" w:name="项目概况"/>
      <w:bookmarkEnd w:id="13"/>
    </w:p>
    <w:p>
      <w:pPr>
        <w:pStyle w:val="3"/>
        <w:ind w:firstLine="420"/>
        <w:rPr>
          <w:lang w:val="en-US"/>
        </w:rPr>
      </w:pPr>
    </w:p>
    <w:p>
      <w:pPr>
        <w:pStyle w:val="3"/>
        <w:ind w:firstLine="420"/>
        <w:rPr>
          <w:lang w:val="en-US"/>
        </w:rPr>
      </w:pPr>
    </w:p>
    <w:p>
      <w:pPr>
        <w:pStyle w:val="3"/>
        <w:ind w:firstLine="420"/>
        <w:rPr>
          <w:lang w:val="en-US"/>
        </w:rPr>
        <w:sectPr>
          <w:pgSz w:w="11906" w:h="16838"/>
          <w:pgMar w:top="822" w:right="1134" w:bottom="992" w:left="709" w:header="283" w:footer="170" w:gutter="0"/>
          <w:cols w:space="720" w:num="1"/>
          <w:docGrid w:type="linesAndChars" w:linePitch="312" w:charSpace="0"/>
        </w:sectPr>
      </w:pPr>
    </w:p>
    <w:p>
      <w:pPr>
        <w:pStyle w:val="4"/>
      </w:pPr>
      <w:bookmarkStart w:id="14" w:name="_Toc452108760"/>
      <w:bookmarkStart w:id="15" w:name="_Toc155345328"/>
      <w:r>
        <w:t>平面图</w:t>
      </w:r>
      <w:bookmarkEnd w:id="14"/>
      <w:bookmarkEnd w:id="15"/>
    </w:p>
    <w:p>
      <w:pPr>
        <w:pStyle w:val="3"/>
        <w:ind w:firstLine="0" w:firstLineChars="0"/>
        <w:jc w:val="center"/>
        <w:rPr>
          <w:lang w:val="en-US"/>
        </w:rPr>
      </w:pPr>
      <w:bookmarkStart w:id="16" w:name="平面图"/>
      <w:bookmarkEnd w:id="16"/>
      <w:r>
        <w:drawing>
          <wp:inline distT="0" distB="0" distL="0" distR="0">
            <wp:extent cx="5667375" cy="52578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1层平面</w:t>
      </w:r>
    </w:p>
    <w:p>
      <w:pPr>
        <w:pStyle w:val="3"/>
        <w:ind w:firstLine="0" w:firstLineChars="0"/>
        <w:jc w:val="center"/>
        <w:rPr>
          <w:lang w:val="en-US"/>
        </w:rPr>
      </w:pPr>
      <w:r>
        <w:drawing>
          <wp:inline distT="0" distB="0" distL="0" distR="0">
            <wp:extent cx="5667375" cy="50292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2层平面</w:t>
      </w:r>
    </w:p>
    <w:p>
      <w:pPr>
        <w:pStyle w:val="3"/>
        <w:ind w:firstLine="0" w:firstLineChars="0"/>
        <w:jc w:val="center"/>
        <w:rPr>
          <w:lang w:val="en-US"/>
        </w:rPr>
      </w:pPr>
      <w:r>
        <w:drawing>
          <wp:inline distT="0" distB="0" distL="0" distR="0">
            <wp:extent cx="5667375" cy="489585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3层平面</w:t>
      </w:r>
    </w:p>
    <w:p>
      <w:pPr>
        <w:pStyle w:val="3"/>
        <w:ind w:firstLine="0" w:firstLineChars="0"/>
        <w:jc w:val="center"/>
        <w:rPr>
          <w:lang w:val="en-US"/>
        </w:rPr>
      </w:pPr>
    </w:p>
    <w:p>
      <w:pPr>
        <w:pStyle w:val="3"/>
        <w:ind w:firstLine="42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>
      <w:pPr>
        <w:pStyle w:val="4"/>
      </w:pPr>
      <w:bookmarkStart w:id="17" w:name="_Toc452108761"/>
      <w:bookmarkStart w:id="18" w:name="_Toc155345329"/>
      <w:r>
        <w:rPr>
          <w:rFonts w:hint="eastAsia"/>
        </w:rPr>
        <w:t>三</w:t>
      </w:r>
      <w:r>
        <w:t>维视图</w:t>
      </w:r>
      <w:bookmarkEnd w:id="17"/>
      <w:bookmarkEnd w:id="18"/>
    </w:p>
    <w:p>
      <w:pPr>
        <w:pStyle w:val="3"/>
        <w:ind w:firstLine="0" w:firstLineChars="0"/>
        <w:jc w:val="center"/>
        <w:rPr>
          <w:lang w:val="en-US"/>
        </w:rPr>
      </w:pPr>
      <w:bookmarkStart w:id="19" w:name="模型观察"/>
      <w:r>
        <w:t>请先在【模型观察】命令中保存图片</w:t>
      </w:r>
      <w:bookmarkEnd w:id="19"/>
    </w:p>
    <w:p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ascii="微软雅黑" w:hAnsi="微软雅黑" w:eastAsia="微软雅黑"/>
          <w:b/>
          <w:sz w:val="18"/>
          <w:szCs w:val="21"/>
        </w:rPr>
        <w:t>1.2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三</w:t>
      </w:r>
      <w:r>
        <w:rPr>
          <w:rFonts w:ascii="微软雅黑" w:hAnsi="微软雅黑" w:eastAsia="微软雅黑"/>
          <w:b/>
          <w:sz w:val="18"/>
          <w:szCs w:val="21"/>
        </w:rPr>
        <w:t>维</w:t>
      </w:r>
      <w:r>
        <w:rPr>
          <w:rFonts w:hint="eastAsia" w:ascii="微软雅黑" w:hAnsi="微软雅黑" w:eastAsia="微软雅黑"/>
          <w:b/>
          <w:sz w:val="18"/>
          <w:szCs w:val="21"/>
        </w:rPr>
        <w:t>视图</w:t>
      </w:r>
    </w:p>
    <w:p>
      <w:pPr>
        <w:pStyle w:val="3"/>
        <w:ind w:firstLine="0" w:firstLineChars="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>
      <w:pPr>
        <w:pStyle w:val="2"/>
      </w:pPr>
      <w:bookmarkStart w:id="20" w:name="TitleFormat"/>
      <w:bookmarkStart w:id="21" w:name="_Toc452108762"/>
      <w:bookmarkStart w:id="22" w:name="_Toc155345330"/>
      <w:r>
        <w:rPr>
          <w:rFonts w:hint="eastAsia"/>
        </w:rPr>
        <w:t>计算</w:t>
      </w:r>
      <w:r>
        <w:t>依据</w:t>
      </w:r>
      <w:bookmarkEnd w:id="20"/>
      <w:bookmarkEnd w:id="21"/>
      <w:bookmarkEnd w:id="22"/>
    </w:p>
    <w:p>
      <w:pPr>
        <w:pStyle w:val="3"/>
        <w:ind w:firstLine="199" w:firstLineChars="95"/>
        <w:rPr>
          <w:lang w:val="en-US"/>
        </w:rPr>
      </w:pPr>
      <w:bookmarkStart w:id="23" w:name="_Toc452108763"/>
      <w:r>
        <w:rPr>
          <w:rFonts w:hint="eastAsia"/>
          <w:lang w:val="en-US"/>
        </w:rPr>
        <w:t>本项目主要参照资料为：</w:t>
      </w:r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4" w:name="参考标准名称1"/>
      <w:r>
        <w:rPr>
          <w:rFonts w:hint="eastAsia"/>
          <w:lang w:val="en-US"/>
        </w:rPr>
        <w:t>《绿色建筑评价标准》GB/T50378-2019</w:t>
      </w:r>
      <w:bookmarkEnd w:id="24"/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5" w:name="_Hlk13496340"/>
      <w:r>
        <w:rPr>
          <w:rFonts w:hint="eastAsia"/>
          <w:lang w:val="en-US"/>
        </w:rPr>
        <w:t>《民用建筑室内热湿环境评价标准》</w:t>
      </w:r>
      <w:r>
        <w:rPr>
          <w:lang w:val="en-US"/>
        </w:rPr>
        <w:t>GB/T 50785-2012</w:t>
      </w:r>
      <w:bookmarkEnd w:id="25"/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《民用建筑热工设计规范》</w:t>
      </w:r>
      <w:r>
        <w:rPr>
          <w:lang w:val="en-US"/>
        </w:rPr>
        <w:t>GB 50176-2016</w:t>
      </w:r>
      <w:bookmarkStart w:id="26" w:name="_Hlk13516321"/>
    </w:p>
    <w:bookmarkEnd w:id="26"/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《中国建筑热环境分析专用气象数据集</w:t>
      </w:r>
      <w:r>
        <w:rPr>
          <w:rFonts w:hint="eastAsia"/>
        </w:rPr>
        <w:t>》</w:t>
      </w:r>
    </w:p>
    <w:p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委托方提供的总平面图、建筑专业设计图纸、设计效果图等图纸资料</w:t>
      </w:r>
    </w:p>
    <w:p>
      <w:pPr>
        <w:pStyle w:val="2"/>
      </w:pPr>
      <w:bookmarkStart w:id="27" w:name="_Toc155345331"/>
      <w:r>
        <w:rPr>
          <w:rFonts w:hint="eastAsia"/>
        </w:rPr>
        <w:t>参考</w:t>
      </w:r>
      <w:r>
        <w:t>标准</w:t>
      </w:r>
      <w:bookmarkEnd w:id="23"/>
      <w:bookmarkEnd w:id="27"/>
    </w:p>
    <w:p>
      <w:pPr>
        <w:pStyle w:val="3"/>
        <w:ind w:firstLine="420"/>
        <w:rPr>
          <w:lang w:val="en-US"/>
        </w:rPr>
      </w:pPr>
      <w:bookmarkStart w:id="28" w:name="_Toc452108764"/>
      <w:bookmarkStart w:id="29" w:name="_Toc451698935"/>
      <w:r>
        <w:rPr>
          <w:rFonts w:hint="eastAsia"/>
          <w:lang w:val="en-US"/>
        </w:rPr>
        <w:t>室内热舒适评价的主要依据为</w:t>
      </w:r>
      <w:bookmarkStart w:id="30" w:name="参考标准名称2"/>
      <w:r>
        <w:rPr>
          <w:rFonts w:hint="eastAsia"/>
          <w:lang w:val="en-US"/>
        </w:rPr>
        <w:t>《绿色建筑评价标准》GB/T50378-2019</w:t>
      </w:r>
      <w:bookmarkEnd w:id="30"/>
      <w:r>
        <w:rPr>
          <w:rFonts w:hint="eastAsia"/>
          <w:lang w:val="en-US"/>
        </w:rPr>
        <w:t>中有关室内热湿环境5.2.9条第</w:t>
      </w:r>
      <w:r>
        <w:rPr>
          <w:rFonts w:hint="eastAsia"/>
          <w:b/>
          <w:bCs/>
          <w:lang w:val="en-US"/>
        </w:rPr>
        <w:t>1</w:t>
      </w:r>
      <w:r>
        <w:rPr>
          <w:rFonts w:hint="eastAsia"/>
          <w:lang w:val="en-US"/>
        </w:rPr>
        <w:t>款的要求，具体评分规则如下：</w:t>
      </w:r>
    </w:p>
    <w:p>
      <w:pPr>
        <w:pStyle w:val="3"/>
        <w:ind w:firstLine="422"/>
        <w:rPr>
          <w:lang w:val="en-US"/>
        </w:rPr>
      </w:pPr>
      <w:r>
        <w:rPr>
          <w:rFonts w:hint="eastAsia"/>
          <w:b/>
          <w:bCs/>
          <w:lang w:val="en-US"/>
        </w:rPr>
        <w:t>1.采用自然通风或复合通风的建筑，建筑主要功能房间室内热环境参数在适应性热舒适区域的时间比例，达到30%, 得2分；每再增加10%, 再得1 分，最高得8分</w:t>
      </w:r>
      <w:r>
        <w:rPr>
          <w:rFonts w:hint="eastAsia"/>
          <w:lang w:val="en-US"/>
        </w:rPr>
        <w:t>；</w:t>
      </w:r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2.采用人工冷热源的建筑，主要功能房间达到现行国家标准《民用建筑室内热湿环境评价标准》GB/T50785规定的室内人工冷热源热湿环境整体评价</w:t>
      </w:r>
      <w:r>
        <w:rPr>
          <w:lang w:val="en-US"/>
        </w:rPr>
        <w:fldChar w:fldCharType="begin"/>
      </w:r>
      <w:r>
        <w:rPr>
          <w:lang w:val="en-US"/>
        </w:rPr>
        <w:instrText xml:space="preserve"> </w:instrText>
      </w:r>
      <w:r>
        <w:rPr>
          <w:rFonts w:hint="eastAsia"/>
          <w:lang w:val="en-US"/>
        </w:rPr>
        <w:instrText xml:space="preserve">= 2 \* ROMAN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separate"/>
      </w:r>
      <w:r>
        <w:rPr>
          <w:lang w:val="en-US"/>
        </w:rPr>
        <w:t>II</w:t>
      </w:r>
      <w:r>
        <w:rPr>
          <w:lang w:val="en-US"/>
        </w:rPr>
        <w:fldChar w:fldCharType="end"/>
      </w:r>
      <w:r>
        <w:rPr>
          <w:rFonts w:hint="eastAsia"/>
          <w:lang w:val="en-US"/>
        </w:rPr>
        <w:t>级的面积比例，达到60%, 得5分；每再增加10%, 再得1 分，最高得8分。</w:t>
      </w:r>
    </w:p>
    <w:p>
      <w:pPr>
        <w:pStyle w:val="2"/>
      </w:pPr>
      <w:bookmarkStart w:id="31" w:name="_Toc155345332"/>
      <w:r>
        <w:rPr>
          <w:rFonts w:hint="eastAsia"/>
        </w:rPr>
        <w:t>计算</w:t>
      </w:r>
      <w:bookmarkEnd w:id="28"/>
      <w:bookmarkEnd w:id="29"/>
      <w:r>
        <w:rPr>
          <w:rFonts w:hint="eastAsia"/>
        </w:rPr>
        <w:t>方法</w:t>
      </w:r>
      <w:bookmarkEnd w:id="31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工况，涉及的热环境参数定义和计算方法均依据《绿色建筑评价标准》及其对应的绿色建筑评价技术细则，详见下列小节：</w:t>
      </w:r>
    </w:p>
    <w:p>
      <w:pPr>
        <w:pStyle w:val="4"/>
      </w:pPr>
      <w:bookmarkStart w:id="32" w:name="_Toc155345333"/>
      <w:r>
        <w:rPr>
          <w:rFonts w:hint="eastAsia"/>
        </w:rPr>
        <w:t>参数定义</w:t>
      </w:r>
      <w:bookmarkEnd w:id="32"/>
    </w:p>
    <w:p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：自然通风和机械通风两种通风方式的</w:t>
      </w:r>
      <w:r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>
        <w:rPr>
          <w:rFonts w:hint="eastAsia"/>
          <w:b/>
          <w:bCs/>
          <w:lang w:val="en-US"/>
        </w:rPr>
        <w:t>切换</w:t>
      </w:r>
      <w:r>
        <w:rPr>
          <w:rFonts w:hint="eastAsia"/>
          <w:lang w:val="en-US"/>
        </w:rPr>
        <w:t>；</w:t>
      </w:r>
    </w:p>
    <w:p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：采用自然通风或者复合通风时对应的室内热环境参数。</w:t>
      </w:r>
    </w:p>
    <w:p>
      <w:pPr>
        <w:pStyle w:val="4"/>
      </w:pPr>
      <w:bookmarkStart w:id="33" w:name="_Toc155345334"/>
      <w:r>
        <w:rPr>
          <w:rFonts w:hint="eastAsia"/>
        </w:rPr>
        <w:t>计算流程</w:t>
      </w:r>
      <w:bookmarkEnd w:id="33"/>
    </w:p>
    <w:p>
      <w:pPr>
        <w:pStyle w:val="30"/>
        <w:ind w:firstLine="420"/>
        <w:rPr>
          <w:rFonts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  <w:u w:val="single"/>
        </w:rPr>
        <w:t>依据绿标细则所述，对于自然通风和复合通风，</w:t>
      </w:r>
      <w:r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>
        <w:rPr>
          <w:rFonts w:hint="eastAsia" w:ascii="Times New Roman" w:hAnsi="Times New Roman"/>
          <w:color w:val="auto"/>
          <w:sz w:val="21"/>
          <w:szCs w:val="21"/>
        </w:rPr>
        <w:t>。</w:t>
      </w:r>
    </w:p>
    <w:p>
      <w:pPr>
        <w:tabs>
          <w:tab w:val="left" w:pos="180"/>
        </w:tabs>
        <w:spacing w:line="400" w:lineRule="atLeast"/>
        <w:ind w:left="-19" w:leftChars="-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根据上述计算方法，本项目采用一下计算步骤：</w:t>
      </w:r>
    </w:p>
    <w:p>
      <w:pPr>
        <w:pStyle w:val="32"/>
        <w:numPr>
          <w:ilvl w:val="0"/>
          <w:numId w:val="4"/>
        </w:numPr>
        <w:tabs>
          <w:tab w:val="left" w:pos="180"/>
        </w:tabs>
        <w:spacing w:before="156" w:line="400" w:lineRule="atLeast"/>
        <w:ind w:left="567" w:hanging="425" w:firstLineChars="0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依据标准细则，按照下述规则确定室内舒适温度区间。</w:t>
      </w:r>
    </w:p>
    <w:p>
      <w:pPr>
        <w:adjustRightInd w:val="0"/>
        <w:spacing w:line="360" w:lineRule="auto"/>
        <w:ind w:left="128" w:leftChars="61"/>
        <w:rPr>
          <w:rFonts w:eastAsia="楷体"/>
          <w:szCs w:val="21"/>
        </w:rPr>
      </w:pPr>
      <w:r>
        <w:rPr>
          <w:rFonts w:hint="eastAsia"/>
          <w:szCs w:val="21"/>
        </w:rPr>
        <w:t>1）当</w:t>
      </w:r>
      <w:r>
        <w:rPr>
          <w:szCs w:val="21"/>
        </w:rPr>
        <w:t>室内平均气流速度va≤0.3m/s时，</w:t>
      </w:r>
      <w:r>
        <w:rPr>
          <w:rFonts w:hint="eastAsia"/>
          <w:szCs w:val="21"/>
        </w:rPr>
        <w:t>室内没有个性化送风装置，</w:t>
      </w:r>
      <w:r>
        <w:rPr>
          <w:szCs w:val="21"/>
        </w:rPr>
        <w:t>舒适温度为</w:t>
      </w:r>
      <w:r>
        <w:rPr>
          <w:rFonts w:hint="eastAsia"/>
          <w:szCs w:val="21"/>
        </w:rPr>
        <w:t>下图</w:t>
      </w:r>
      <w:r>
        <w:rPr>
          <w:szCs w:val="21"/>
        </w:rPr>
        <w:t>中的阴影区间</w:t>
      </w:r>
      <w:r>
        <w:rPr>
          <w:rFonts w:hint="eastAsia"/>
          <w:szCs w:val="21"/>
        </w:rPr>
        <w:t>：</w:t>
      </w:r>
    </w:p>
    <w:p>
      <w:pPr>
        <w:pStyle w:val="36"/>
        <w:spacing w:line="360" w:lineRule="auto"/>
        <w:ind w:firstLine="2100" w:firstLineChars="1000"/>
        <w:rPr>
          <w:szCs w:val="21"/>
        </w:rPr>
      </w:pPr>
      <w:r>
        <w:rPr>
          <w:rFonts w:eastAsia="楷体"/>
          <w:szCs w:val="21"/>
          <w:lang w:val="en-US"/>
        </w:rPr>
        <w:drawing>
          <wp:inline distT="0" distB="0" distL="0" distR="0">
            <wp:extent cx="3865880" cy="232537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>
                      <a:fillRect/>
                    </a:stretch>
                  </pic:blipFill>
                  <pic:spPr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6"/>
        <w:spacing w:line="360" w:lineRule="auto"/>
        <w:ind w:firstLine="3242" w:firstLineChars="1800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18"/>
        </w:rPr>
        <w:t xml:space="preserve">图 </w:t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ascii="微软雅黑" w:hAnsi="微软雅黑" w:eastAsia="微软雅黑"/>
          <w:b/>
          <w:sz w:val="18"/>
          <w:szCs w:val="18"/>
        </w:rPr>
        <w:t>4.2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ascii="微软雅黑" w:hAnsi="微软雅黑" w:eastAsia="微软雅黑"/>
          <w:b/>
          <w:sz w:val="18"/>
          <w:szCs w:val="18"/>
        </w:rPr>
        <w:noBreakHyphen/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ascii="微软雅黑" w:hAnsi="微软雅黑" w:eastAsia="微软雅黑"/>
          <w:b/>
          <w:sz w:val="18"/>
          <w:szCs w:val="18"/>
        </w:rPr>
        <w:t>1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hint="eastAsia" w:ascii="微软雅黑" w:hAnsi="微软雅黑" w:eastAsia="微软雅黑"/>
          <w:b/>
        </w:rPr>
        <w:t xml:space="preserve">  </w:t>
      </w:r>
      <w:r>
        <w:rPr>
          <w:rFonts w:ascii="微软雅黑" w:hAnsi="微软雅黑" w:eastAsia="微软雅黑"/>
          <w:b/>
          <w:sz w:val="18"/>
          <w:szCs w:val="21"/>
        </w:rPr>
        <w:t>自然通风或复合通风建筑室内舒适温度范围</w:t>
      </w:r>
    </w:p>
    <w:p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  <w:lang w:val="en-US"/>
        </w:rPr>
        <w:t>其中，室外月平均温度依据室外气象数据，本项目采用《中国建筑热环境分析专用气象数据集</w:t>
      </w:r>
      <w:r>
        <w:rPr>
          <w:rFonts w:hint="eastAsia"/>
          <w:szCs w:val="21"/>
        </w:rPr>
        <w:t xml:space="preserve">》。   </w:t>
      </w:r>
    </w:p>
    <w:p>
      <w:pPr>
        <w:pStyle w:val="36"/>
        <w:tabs>
          <w:tab w:val="left" w:pos="426"/>
        </w:tabs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  2）当</w:t>
      </w:r>
      <w:r>
        <w:rPr>
          <w:szCs w:val="21"/>
        </w:rPr>
        <w:t>室内气流平均速度va</w:t>
      </w:r>
      <w:r>
        <w:rPr>
          <w:rFonts w:hint="eastAsia"/>
          <w:szCs w:val="21"/>
        </w:rPr>
        <w:t>&gt;</w:t>
      </w:r>
      <w:r>
        <w:rPr>
          <w:szCs w:val="21"/>
        </w:rPr>
        <w:t>0.3m/s</w:t>
      </w:r>
      <w:r>
        <w:rPr>
          <w:rFonts w:hint="eastAsia"/>
          <w:szCs w:val="21"/>
        </w:rPr>
        <w:t>时，室内有风扇等个性化送风装置，采用下列方法调整室内舒适温度区间：</w:t>
      </w:r>
    </w:p>
    <w:p>
      <w:pPr>
        <w:pStyle w:val="36"/>
        <w:ind w:left="359" w:leftChars="171" w:firstLine="2507" w:firstLineChars="1392"/>
        <w:rPr>
          <w:rFonts w:ascii="微软雅黑" w:hAnsi="微软雅黑" w:eastAsia="微软雅黑"/>
          <w:b/>
          <w:sz w:val="18"/>
          <w:szCs w:val="21"/>
        </w:rPr>
      </w:pPr>
      <w:r>
        <w:rPr>
          <w:rFonts w:ascii="微软雅黑" w:hAnsi="微软雅黑" w:eastAsia="微软雅黑"/>
          <w:b/>
          <w:sz w:val="18"/>
          <w:szCs w:val="21"/>
        </w:rPr>
        <w:t>表4.</w:t>
      </w:r>
      <w:r>
        <w:rPr>
          <w:rFonts w:hint="eastAsia" w:ascii="微软雅黑" w:hAnsi="微软雅黑" w:eastAsia="微软雅黑"/>
          <w:b/>
          <w:sz w:val="18"/>
          <w:szCs w:val="21"/>
        </w:rPr>
        <w:t>2-1</w:t>
      </w:r>
      <w:r>
        <w:rPr>
          <w:rFonts w:ascii="微软雅黑" w:hAnsi="微软雅黑" w:eastAsia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Style w:val="21"/>
        <w:tblW w:w="45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1"/>
        <w:gridCol w:w="1889"/>
        <w:gridCol w:w="2034"/>
        <w:gridCol w:w="19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室内气流平均速度v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（m/s）</w:t>
            </w:r>
          </w:p>
        </w:tc>
        <w:tc>
          <w:tcPr>
            <w:tcW w:w="1013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0.3＜v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0.6＜v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0.9＜v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舒适温度上限提高幅度Δt（℃）</w:t>
            </w:r>
          </w:p>
        </w:tc>
        <w:tc>
          <w:tcPr>
            <w:tcW w:w="1013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2.2</w:t>
            </w:r>
          </w:p>
        </w:tc>
      </w:tr>
    </w:tbl>
    <w:p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当室内温度高于25</w:t>
      </w:r>
      <w:r>
        <w:rPr>
          <w:rFonts w:hint="eastAsia"/>
          <w:szCs w:val="21"/>
        </w:rPr>
        <w:t>℃</w:t>
      </w:r>
      <w:r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>
        <w:rPr>
          <w:szCs w:val="21"/>
        </w:rPr>
        <w:t>表所示。</w:t>
      </w:r>
    </w:p>
    <w:p>
      <w:pPr>
        <w:adjustRightInd w:val="0"/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在本项目中，对于未使用个性化送风装置的房间采用方法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）确定室内舒适温度范围，使用该装置的房间采用方法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>
      <w:pPr>
        <w:pStyle w:val="32"/>
        <w:numPr>
          <w:ilvl w:val="0"/>
          <w:numId w:val="4"/>
        </w:numPr>
        <w:spacing w:before="156"/>
        <w:ind w:firstLineChars="0"/>
        <w:rPr>
          <w:b/>
        </w:rPr>
      </w:pPr>
      <w:r>
        <w:rPr>
          <w:rFonts w:hint="eastAsia"/>
          <w:b/>
          <w:szCs w:val="21"/>
        </w:rPr>
        <w:t>计算室内温度</w:t>
      </w:r>
    </w:p>
    <w:p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本项目通过D</w:t>
      </w:r>
      <w:r>
        <w:rPr>
          <w:szCs w:val="21"/>
        </w:rPr>
        <w:t>eST3.0</w:t>
      </w:r>
      <w:r>
        <w:rPr>
          <w:rFonts w:hint="eastAsia"/>
          <w:szCs w:val="21"/>
        </w:rPr>
        <w:t>，求解自然通风复合通风工况下的室内温度。</w:t>
      </w:r>
    </w:p>
    <w:p>
      <w:pPr>
        <w:pStyle w:val="32"/>
        <w:numPr>
          <w:ilvl w:val="0"/>
          <w:numId w:val="4"/>
        </w:numPr>
        <w:spacing w:before="156"/>
        <w:ind w:firstLineChars="0"/>
      </w:pPr>
      <w:r>
        <w:rPr>
          <w:rFonts w:hint="eastAsia"/>
          <w:b/>
          <w:szCs w:val="21"/>
        </w:rPr>
        <w:t>计算室内适应性舒适温度时间比例</w:t>
      </w:r>
    </w:p>
    <w:p>
      <w:pPr>
        <w:adjustRightInd w:val="0"/>
        <w:spacing w:line="360" w:lineRule="auto"/>
        <w:ind w:firstLine="420" w:firstLineChars="200"/>
        <w:rPr>
          <w:sz w:val="28"/>
        </w:rPr>
      </w:pPr>
      <w:bookmarkStart w:id="34" w:name="_Hlk36153165"/>
      <w:r>
        <w:rPr>
          <w:rFonts w:hint="eastAsia"/>
          <w:szCs w:val="21"/>
        </w:rPr>
        <w:t>室内适应性舒适温度时间比例</w:t>
      </w:r>
      <w:bookmarkEnd w:id="34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室内温度</m:t>
            </m:r>
            <m:r>
              <m:rPr>
                <m:sty m:val="b"/>
              </m:rPr>
              <w:rPr>
                <w:rFonts w:hint="eastAsia" w:ascii="Cambria Math" w:hAnsi="Cambria Math" w:eastAsiaTheme="minor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hAnsi="Cambria Math" w:eastAsiaTheme="minorEastAsia"/>
                <w:sz w:val="28"/>
              </w:rPr>
              <m:t xml:space="preserve"> </m:t>
            </m:r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的时间</m:t>
            </m:r>
            <m:ctrlPr>
              <w:rPr>
                <w:rFonts w:ascii="Cambria Math" w:hAnsi="Cambria Math" w:eastAsiaTheme="minorEastAsia"/>
                <w:sz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建筑全年运行小时数</m:t>
            </m:r>
            <m:ctrlPr>
              <w:rPr>
                <w:rFonts w:ascii="Cambria Math" w:hAnsi="Cambria Math" w:eastAsiaTheme="minorEastAsia"/>
                <w:sz w:val="28"/>
              </w:rPr>
            </m:ctrlPr>
          </m:den>
        </m:f>
      </m:oMath>
    </w:p>
    <w:p>
      <w:pPr>
        <w:adjustRightInd w:val="0"/>
        <w:spacing w:line="360" w:lineRule="auto"/>
        <w:ind w:firstLine="420" w:firstLineChars="200"/>
      </w:pPr>
      <w:r>
        <w:rPr>
          <w:rFonts w:hint="eastAsia"/>
        </w:rPr>
        <w:t>具体计算结果详见本报告书第5章。</w:t>
      </w:r>
    </w:p>
    <w:p>
      <w:pPr>
        <w:pStyle w:val="4"/>
      </w:pPr>
      <w:bookmarkStart w:id="35" w:name="_Toc155345335"/>
      <w:r>
        <w:rPr>
          <w:rFonts w:hint="eastAsia"/>
        </w:rPr>
        <w:t>计算参数</w:t>
      </w:r>
      <w:bookmarkEnd w:id="35"/>
    </w:p>
    <w:p>
      <w:pPr>
        <w:pStyle w:val="5"/>
      </w:pPr>
      <w:bookmarkStart w:id="36" w:name="_Toc155345336"/>
      <w:r>
        <w:rPr>
          <w:rFonts w:hint="eastAsia"/>
        </w:rPr>
        <w:t>室外月平均温度</w:t>
      </w:r>
      <w:bookmarkEnd w:id="36"/>
    </w:p>
    <w:p>
      <w:pPr>
        <w:adjustRightInd w:val="0"/>
        <w:spacing w:line="360" w:lineRule="auto"/>
        <w:ind w:firstLine="420" w:firstLineChars="200"/>
        <w:rPr>
          <w:rFonts w:ascii="Calibri" w:hAnsi="Calibri"/>
          <w:b/>
          <w:kern w:val="2"/>
          <w:lang w:val="en-US"/>
        </w:rPr>
      </w:pPr>
      <w:r>
        <w:rPr>
          <w:rFonts w:hint="eastAsia" w:ascii="Calibri" w:hAnsi="Calibri"/>
          <w:kern w:val="2"/>
          <w:lang w:val="en-US"/>
        </w:rPr>
        <w:t>本项目取</w:t>
      </w:r>
      <w:r>
        <w:rPr>
          <w:rFonts w:hint="eastAsia" w:ascii="Calibri" w:hAnsi="Calibri"/>
          <w:b/>
          <w:kern w:val="2"/>
          <w:lang w:val="en-US"/>
        </w:rPr>
        <w:t>《中国建筑热环境分析专用气象数据集》</w:t>
      </w:r>
      <w:r>
        <w:rPr>
          <w:rFonts w:hint="eastAsia" w:ascii="Calibri" w:hAnsi="Calibri"/>
          <w:kern w:val="2"/>
          <w:lang w:val="en-US"/>
        </w:rPr>
        <w:t>中</w:t>
      </w:r>
      <w:bookmarkStart w:id="37" w:name="站台城市"/>
      <w:r>
        <w:rPr>
          <w:rFonts w:hint="eastAsia" w:ascii="Calibri" w:hAnsi="Calibri"/>
          <w:kern w:val="2"/>
          <w:lang w:val="en-US"/>
        </w:rPr>
        <w:t>运城</w:t>
      </w:r>
      <w:bookmarkEnd w:id="37"/>
      <w:r>
        <w:rPr>
          <w:rFonts w:hint="eastAsia" w:ascii="Calibri" w:hAnsi="Calibri"/>
          <w:kern w:val="2"/>
          <w:lang w:val="en-US"/>
        </w:rPr>
        <w:t>的气象数据</w:t>
      </w:r>
      <w:r>
        <w:rPr>
          <w:rFonts w:hint="eastAsia" w:ascii="Calibri" w:hAnsi="Calibri"/>
          <w:b/>
          <w:kern w:val="2"/>
          <w:lang w:val="en-US"/>
        </w:rPr>
        <w:t>。</w:t>
      </w:r>
    </w:p>
    <w:p>
      <w:pPr>
        <w:pStyle w:val="3"/>
        <w:ind w:left="779" w:leftChars="371" w:firstLine="105" w:firstLineChars="50"/>
        <w:jc w:val="center"/>
        <w:rPr>
          <w:rFonts w:ascii="Calibri" w:hAnsi="Calibri"/>
          <w:b/>
          <w:kern w:val="2"/>
          <w:lang w:val="en-US"/>
        </w:rPr>
      </w:pPr>
      <w:bookmarkStart w:id="38" w:name="月平均温度图"/>
      <w:r>
        <w:rPr>
          <w:rFonts w:hint="eastAsia" w:ascii="Calibri" w:hAnsi="Calibri"/>
          <w:b/>
          <w:kern w:val="2"/>
          <w:lang w:val="en-US"/>
        </w:rPr>
        <w:t xml:space="preserve"> </w:t>
      </w:r>
      <w:bookmarkEnd w:id="38"/>
      <w:r>
        <w:drawing>
          <wp:inline distT="0" distB="0" distL="0" distR="0">
            <wp:extent cx="5114925" cy="21907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5462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ascii="微软雅黑" w:hAnsi="微软雅黑" w:eastAsia="微软雅黑"/>
          <w:b/>
          <w:sz w:val="18"/>
          <w:szCs w:val="21"/>
        </w:rPr>
        <w:t>4.3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  室外月平均温度</w:t>
      </w:r>
    </w:p>
    <w:p>
      <w:pPr>
        <w:pStyle w:val="5"/>
      </w:pPr>
      <w:bookmarkStart w:id="39" w:name="_Toc155345337"/>
      <w:r>
        <w:rPr>
          <w:rFonts w:hint="eastAsia"/>
        </w:rPr>
        <w:t>室内热舒适温度</w:t>
      </w:r>
      <w:bookmarkEnd w:id="39"/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Style w:val="21"/>
        <w:tblW w:w="9501" w:type="dxa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3402"/>
        <w:gridCol w:w="42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</w:tcPr>
          <w:p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>
            <w:pPr>
              <w:jc w:val="center"/>
            </w:pPr>
            <w:bookmarkStart w:id="40" w:name="室内热舒适温度表"/>
            <w:r>
              <w:rPr>
                <w:rFonts w:hint="eastAsia"/>
              </w:rPr>
              <w:t>室外月平均温度</w:t>
            </w:r>
            <w:bookmarkEnd w:id="40"/>
            <w:r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室内热舒适温度范围（℃）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861" w:type="dxa"/>
            <w:tcBorders>
              <w:top w:val="single" w:color="auto" w:sz="2" w:space="0"/>
            </w:tcBorders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-0.6</w:t>
            </w:r>
          </w:p>
        </w:tc>
        <w:tc>
          <w:tcPr>
            <w:tcW w:w="4238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3.6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9.7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15.4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19.1~26.1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20.8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20.8~27.8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25.7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22.3~29.3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26.2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22.4~29.4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26.1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22.4~29.4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21.0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20.8~27.8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15.0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18.9~25.9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6.7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1.0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</w:tbl>
    <w:p>
      <w:pPr>
        <w:pStyle w:val="5"/>
      </w:pPr>
      <w:bookmarkStart w:id="41" w:name="_Toc155345338"/>
      <w:r>
        <w:rPr>
          <w:rFonts w:hint="eastAsia"/>
        </w:rPr>
        <w:t>参评时间</w:t>
      </w:r>
      <w:r>
        <w:t>段</w:t>
      </w:r>
      <w:bookmarkEnd w:id="41"/>
    </w:p>
    <w:p>
      <w:pPr>
        <w:pStyle w:val="3"/>
        <w:ind w:firstLine="420"/>
        <w:rPr>
          <w:lang w:val="en-US"/>
        </w:rPr>
      </w:pPr>
      <w:bookmarkStart w:id="42" w:name="参评时间段"/>
      <w:r>
        <w:rPr>
          <w:rFonts w:hint="eastAsia"/>
          <w:lang w:val="en-US"/>
        </w:rPr>
        <w:t>1月1日至12月31日。</w:t>
      </w:r>
      <w:bookmarkEnd w:id="42"/>
    </w:p>
    <w:p>
      <w:pPr>
        <w:pStyle w:val="5"/>
      </w:pPr>
      <w:bookmarkStart w:id="43" w:name="_Toc155345339"/>
      <w:r>
        <w:rPr>
          <w:rFonts w:hint="eastAsia"/>
        </w:rPr>
        <w:t>围护结构热工性能参数</w:t>
      </w:r>
      <w:bookmarkEnd w:id="43"/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屋顶构造一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60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0.065</w:t>
            </w:r>
          </w:p>
        </w:tc>
        <w:tc>
          <w:tcPr>
            <w:tcW w:w="1064" w:type="dxa"/>
            <w:vAlign w:val="center"/>
          </w:tcPr>
          <w:p>
            <w:r>
              <w:t>0.734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挤塑聚苯板(ρ=25-32)</w:t>
            </w:r>
          </w:p>
        </w:tc>
        <w:tc>
          <w:tcPr>
            <w:tcW w:w="849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0.320</w:t>
            </w:r>
          </w:p>
        </w:tc>
        <w:tc>
          <w:tcPr>
            <w:tcW w:w="848" w:type="dxa"/>
            <w:vAlign w:val="center"/>
          </w:tcPr>
          <w:p>
            <w:r>
              <w:t>1.10</w:t>
            </w:r>
          </w:p>
        </w:tc>
        <w:tc>
          <w:tcPr>
            <w:tcW w:w="1075" w:type="dxa"/>
            <w:vAlign w:val="center"/>
          </w:tcPr>
          <w:p>
            <w:r>
              <w:t>3.030</w:t>
            </w:r>
          </w:p>
        </w:tc>
        <w:tc>
          <w:tcPr>
            <w:tcW w:w="1064" w:type="dxa"/>
            <w:vAlign w:val="center"/>
          </w:tcPr>
          <w:p>
            <w:r>
              <w:t>1.067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lc5.0轻集料混凝土</w:t>
            </w:r>
          </w:p>
        </w:tc>
        <w:tc>
          <w:tcPr>
            <w:tcW w:w="849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0.300</w:t>
            </w:r>
          </w:p>
        </w:tc>
        <w:tc>
          <w:tcPr>
            <w:tcW w:w="1075" w:type="dxa"/>
            <w:vAlign w:val="center"/>
          </w:tcPr>
          <w:p>
            <w:r>
              <w:t>5.000</w:t>
            </w:r>
          </w:p>
        </w:tc>
        <w:tc>
          <w:tcPr>
            <w:tcW w:w="848" w:type="dxa"/>
            <w:vAlign w:val="center"/>
          </w:tcPr>
          <w:p>
            <w:r>
              <w:t>1.50</w:t>
            </w:r>
          </w:p>
        </w:tc>
        <w:tc>
          <w:tcPr>
            <w:tcW w:w="1075" w:type="dxa"/>
            <w:vAlign w:val="center"/>
          </w:tcPr>
          <w:p>
            <w:r>
              <w:t>0.067</w:t>
            </w:r>
          </w:p>
        </w:tc>
        <w:tc>
          <w:tcPr>
            <w:tcW w:w="1064" w:type="dxa"/>
            <w:vAlign w:val="center"/>
          </w:tcPr>
          <w:p>
            <w:r>
              <w:t>0.500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330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3.255</w:t>
            </w:r>
          </w:p>
        </w:tc>
        <w:tc>
          <w:tcPr>
            <w:tcW w:w="1064" w:type="dxa"/>
            <w:vAlign w:val="center"/>
          </w:tcPr>
          <w:p>
            <w:r>
              <w:t>3.735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0.29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2</w:t>
      </w:r>
      <w:r>
        <w:fldChar w:fldCharType="end"/>
      </w:r>
      <w:r>
        <w:rPr>
          <w:rFonts w:hint="eastAsia"/>
        </w:rPr>
        <w:t xml:space="preserve"> 外墙构造一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硬质岩棉板</w:t>
            </w:r>
          </w:p>
        </w:tc>
        <w:tc>
          <w:tcPr>
            <w:tcW w:w="849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0.041</w:t>
            </w:r>
          </w:p>
        </w:tc>
        <w:tc>
          <w:tcPr>
            <w:tcW w:w="1075" w:type="dxa"/>
            <w:vAlign w:val="center"/>
          </w:tcPr>
          <w:p>
            <w:r>
              <w:t>0.649</w:t>
            </w:r>
          </w:p>
        </w:tc>
        <w:tc>
          <w:tcPr>
            <w:tcW w:w="848" w:type="dxa"/>
            <w:vAlign w:val="center"/>
          </w:tcPr>
          <w:p>
            <w:r>
              <w:t>1.10</w:t>
            </w:r>
          </w:p>
        </w:tc>
        <w:tc>
          <w:tcPr>
            <w:tcW w:w="1075" w:type="dxa"/>
            <w:vAlign w:val="center"/>
          </w:tcPr>
          <w:p>
            <w:r>
              <w:t>2.217</w:t>
            </w:r>
          </w:p>
        </w:tc>
        <w:tc>
          <w:tcPr>
            <w:tcW w:w="1064" w:type="dxa"/>
            <w:vAlign w:val="center"/>
          </w:tcPr>
          <w:p>
            <w:r>
              <w:t>1.583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加气混凝土砌体</w:t>
            </w:r>
          </w:p>
        </w:tc>
        <w:tc>
          <w:tcPr>
            <w:tcW w:w="849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0.220</w:t>
            </w:r>
          </w:p>
        </w:tc>
        <w:tc>
          <w:tcPr>
            <w:tcW w:w="1075" w:type="dxa"/>
            <w:vAlign w:val="center"/>
          </w:tcPr>
          <w:p>
            <w:r>
              <w:t>3.601</w:t>
            </w:r>
          </w:p>
        </w:tc>
        <w:tc>
          <w:tcPr>
            <w:tcW w:w="848" w:type="dxa"/>
            <w:vAlign w:val="center"/>
          </w:tcPr>
          <w:p>
            <w:r>
              <w:t>1.25</w:t>
            </w:r>
          </w:p>
        </w:tc>
        <w:tc>
          <w:tcPr>
            <w:tcW w:w="1075" w:type="dxa"/>
            <w:vAlign w:val="center"/>
          </w:tcPr>
          <w:p>
            <w:r>
              <w:t>0.727</w:t>
            </w:r>
          </w:p>
        </w:tc>
        <w:tc>
          <w:tcPr>
            <w:tcW w:w="1064" w:type="dxa"/>
            <w:vAlign w:val="center"/>
          </w:tcPr>
          <w:p>
            <w:r>
              <w:t>3.274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360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3.012</w:t>
            </w:r>
          </w:p>
        </w:tc>
        <w:tc>
          <w:tcPr>
            <w:tcW w:w="1064" w:type="dxa"/>
            <w:vAlign w:val="center"/>
          </w:tcPr>
          <w:p>
            <w:r>
              <w:t>5.594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0.32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rPr>
          <w:rFonts w:hint="eastAsia"/>
        </w:rPr>
        <w:t xml:space="preserve"> 阳台隔墙构造一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硬质岩棉板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0.041</w:t>
            </w:r>
          </w:p>
        </w:tc>
        <w:tc>
          <w:tcPr>
            <w:tcW w:w="1075" w:type="dxa"/>
            <w:vAlign w:val="center"/>
          </w:tcPr>
          <w:p>
            <w:r>
              <w:t>0.649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0.488</w:t>
            </w:r>
          </w:p>
        </w:tc>
        <w:tc>
          <w:tcPr>
            <w:tcW w:w="1064" w:type="dxa"/>
            <w:vAlign w:val="center"/>
          </w:tcPr>
          <w:p>
            <w:r>
              <w:t>0.317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280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0.670</w:t>
            </w:r>
          </w:p>
        </w:tc>
        <w:tc>
          <w:tcPr>
            <w:tcW w:w="1064" w:type="dxa"/>
            <w:vAlign w:val="center"/>
          </w:tcPr>
          <w:p>
            <w:r>
              <w:t>3.031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1.22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4</w:t>
      </w:r>
      <w:r>
        <w:fldChar w:fldCharType="end"/>
      </w:r>
      <w:r>
        <w:rPr>
          <w:rFonts w:hint="eastAsia"/>
        </w:rPr>
        <w:t xml:space="preserve"> 热桥梁构造一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硬质岩棉板</w:t>
            </w:r>
          </w:p>
        </w:tc>
        <w:tc>
          <w:tcPr>
            <w:tcW w:w="849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0.041</w:t>
            </w:r>
          </w:p>
        </w:tc>
        <w:tc>
          <w:tcPr>
            <w:tcW w:w="1075" w:type="dxa"/>
            <w:vAlign w:val="center"/>
          </w:tcPr>
          <w:p>
            <w:r>
              <w:t>0.649</w:t>
            </w:r>
          </w:p>
        </w:tc>
        <w:tc>
          <w:tcPr>
            <w:tcW w:w="848" w:type="dxa"/>
            <w:vAlign w:val="center"/>
          </w:tcPr>
          <w:p>
            <w:r>
              <w:t>1.10</w:t>
            </w:r>
          </w:p>
        </w:tc>
        <w:tc>
          <w:tcPr>
            <w:tcW w:w="1075" w:type="dxa"/>
            <w:vAlign w:val="center"/>
          </w:tcPr>
          <w:p>
            <w:r>
              <w:t>2.217</w:t>
            </w:r>
          </w:p>
        </w:tc>
        <w:tc>
          <w:tcPr>
            <w:tcW w:w="1064" w:type="dxa"/>
            <w:vAlign w:val="center"/>
          </w:tcPr>
          <w:p>
            <w:r>
              <w:t>1.583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340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2.378</w:t>
            </w:r>
          </w:p>
        </w:tc>
        <w:tc>
          <w:tcPr>
            <w:tcW w:w="1064" w:type="dxa"/>
            <w:vAlign w:val="center"/>
          </w:tcPr>
          <w:p>
            <w:r>
              <w:t>4.053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0.40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5</w:t>
      </w:r>
      <w:r>
        <w:fldChar w:fldCharType="end"/>
      </w:r>
      <w:r>
        <w:rPr>
          <w:rFonts w:hint="eastAsia"/>
        </w:rPr>
        <w:t xml:space="preserve"> 热桥板构造一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硬质岩棉板</w:t>
            </w:r>
          </w:p>
        </w:tc>
        <w:tc>
          <w:tcPr>
            <w:tcW w:w="849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0.041</w:t>
            </w:r>
          </w:p>
        </w:tc>
        <w:tc>
          <w:tcPr>
            <w:tcW w:w="1075" w:type="dxa"/>
            <w:vAlign w:val="center"/>
          </w:tcPr>
          <w:p>
            <w:r>
              <w:t>0.649</w:t>
            </w:r>
          </w:p>
        </w:tc>
        <w:tc>
          <w:tcPr>
            <w:tcW w:w="848" w:type="dxa"/>
            <w:vAlign w:val="center"/>
          </w:tcPr>
          <w:p>
            <w:r>
              <w:t>1.10</w:t>
            </w:r>
          </w:p>
        </w:tc>
        <w:tc>
          <w:tcPr>
            <w:tcW w:w="1075" w:type="dxa"/>
            <w:vAlign w:val="center"/>
          </w:tcPr>
          <w:p>
            <w:r>
              <w:t>2.217</w:t>
            </w:r>
          </w:p>
        </w:tc>
        <w:tc>
          <w:tcPr>
            <w:tcW w:w="1064" w:type="dxa"/>
            <w:vAlign w:val="center"/>
          </w:tcPr>
          <w:p>
            <w:r>
              <w:t>1.583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360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2.400</w:t>
            </w:r>
          </w:p>
        </w:tc>
        <w:tc>
          <w:tcPr>
            <w:tcW w:w="1064" w:type="dxa"/>
            <w:vAlign w:val="center"/>
          </w:tcPr>
          <w:p>
            <w:r>
              <w:t>4.298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0.39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6</w:t>
      </w:r>
      <w:r>
        <w:fldChar w:fldCharType="end"/>
      </w:r>
      <w:r>
        <w:rPr>
          <w:rFonts w:hint="eastAsia"/>
        </w:rPr>
        <w:t>外墙平均热工特性-南向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外墙构造一</w:t>
            </w:r>
          </w:p>
        </w:tc>
        <w:tc>
          <w:tcPr>
            <w:tcW w:w="1121" w:type="dxa"/>
            <w:vAlign w:val="center"/>
          </w:tcPr>
          <w:p>
            <w:r>
              <w:t>主墙体</w:t>
            </w:r>
          </w:p>
        </w:tc>
        <w:tc>
          <w:tcPr>
            <w:tcW w:w="991" w:type="dxa"/>
            <w:vAlign w:val="center"/>
          </w:tcPr>
          <w:p>
            <w:r>
              <w:t>39.18</w:t>
            </w:r>
          </w:p>
        </w:tc>
        <w:tc>
          <w:tcPr>
            <w:tcW w:w="950" w:type="dxa"/>
            <w:vAlign w:val="center"/>
          </w:tcPr>
          <w:p>
            <w:r>
              <w:t>0.529</w:t>
            </w:r>
          </w:p>
        </w:tc>
        <w:tc>
          <w:tcPr>
            <w:tcW w:w="1107" w:type="dxa"/>
            <w:vAlign w:val="center"/>
          </w:tcPr>
          <w:p>
            <w:r>
              <w:t>0.32</w:t>
            </w:r>
          </w:p>
        </w:tc>
        <w:tc>
          <w:tcPr>
            <w:tcW w:w="1107" w:type="dxa"/>
            <w:vAlign w:val="center"/>
          </w:tcPr>
          <w:p>
            <w:r>
              <w:t>5.59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阳台隔墙构造一</w:t>
            </w:r>
          </w:p>
        </w:tc>
        <w:tc>
          <w:tcPr>
            <w:tcW w:w="1121" w:type="dxa"/>
            <w:vAlign w:val="center"/>
          </w:tcPr>
          <w:p>
            <w:r>
              <w:t>阳台隔墙</w:t>
            </w:r>
          </w:p>
        </w:tc>
        <w:tc>
          <w:tcPr>
            <w:tcW w:w="991" w:type="dxa"/>
            <w:vAlign w:val="center"/>
          </w:tcPr>
          <w:p>
            <w:r>
              <w:t>27.22</w:t>
            </w:r>
          </w:p>
        </w:tc>
        <w:tc>
          <w:tcPr>
            <w:tcW w:w="950" w:type="dxa"/>
            <w:vAlign w:val="center"/>
          </w:tcPr>
          <w:p>
            <w:r>
              <w:t>0.368</w:t>
            </w:r>
          </w:p>
        </w:tc>
        <w:tc>
          <w:tcPr>
            <w:tcW w:w="1107" w:type="dxa"/>
            <w:vAlign w:val="center"/>
          </w:tcPr>
          <w:p>
            <w:r>
              <w:t>1.22</w:t>
            </w:r>
          </w:p>
        </w:tc>
        <w:tc>
          <w:tcPr>
            <w:tcW w:w="1107" w:type="dxa"/>
            <w:vAlign w:val="center"/>
          </w:tcPr>
          <w:p>
            <w:r>
              <w:t>3.03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热桥梁构造一</w:t>
            </w:r>
          </w:p>
        </w:tc>
        <w:tc>
          <w:tcPr>
            <w:tcW w:w="1121" w:type="dxa"/>
            <w:vAlign w:val="center"/>
          </w:tcPr>
          <w:p>
            <w:r>
              <w:t>热桥梁</w:t>
            </w:r>
          </w:p>
        </w:tc>
        <w:tc>
          <w:tcPr>
            <w:tcW w:w="991" w:type="dxa"/>
            <w:vAlign w:val="center"/>
          </w:tcPr>
          <w:p>
            <w:r>
              <w:t>5.78</w:t>
            </w:r>
          </w:p>
        </w:tc>
        <w:tc>
          <w:tcPr>
            <w:tcW w:w="950" w:type="dxa"/>
            <w:vAlign w:val="center"/>
          </w:tcPr>
          <w:p>
            <w:r>
              <w:t>0.078</w:t>
            </w:r>
          </w:p>
        </w:tc>
        <w:tc>
          <w:tcPr>
            <w:tcW w:w="1107" w:type="dxa"/>
            <w:vAlign w:val="center"/>
          </w:tcPr>
          <w:p>
            <w:r>
              <w:t>0.40</w:t>
            </w:r>
          </w:p>
        </w:tc>
        <w:tc>
          <w:tcPr>
            <w:tcW w:w="1107" w:type="dxa"/>
            <w:vAlign w:val="center"/>
          </w:tcPr>
          <w:p>
            <w:r>
              <w:t>4.05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热桥板构造一</w:t>
            </w:r>
          </w:p>
        </w:tc>
        <w:tc>
          <w:tcPr>
            <w:tcW w:w="1121" w:type="dxa"/>
            <w:vAlign w:val="center"/>
          </w:tcPr>
          <w:p>
            <w:r>
              <w:t>热桥板</w:t>
            </w:r>
          </w:p>
        </w:tc>
        <w:tc>
          <w:tcPr>
            <w:tcW w:w="991" w:type="dxa"/>
            <w:vAlign w:val="center"/>
          </w:tcPr>
          <w:p>
            <w:r>
              <w:t>1.82</w:t>
            </w:r>
          </w:p>
        </w:tc>
        <w:tc>
          <w:tcPr>
            <w:tcW w:w="950" w:type="dxa"/>
            <w:vAlign w:val="center"/>
          </w:tcPr>
          <w:p>
            <w:r>
              <w:t>0.025</w:t>
            </w:r>
          </w:p>
        </w:tc>
        <w:tc>
          <w:tcPr>
            <w:tcW w:w="1107" w:type="dxa"/>
            <w:vAlign w:val="center"/>
          </w:tcPr>
          <w:p>
            <w:r>
              <w:t>0.39</w:t>
            </w:r>
          </w:p>
        </w:tc>
        <w:tc>
          <w:tcPr>
            <w:tcW w:w="1107" w:type="dxa"/>
            <w:vAlign w:val="center"/>
          </w:tcPr>
          <w:p>
            <w:r>
              <w:t>4.30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合计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991" w:type="dxa"/>
            <w:vAlign w:val="center"/>
          </w:tcPr>
          <w:p>
            <w:r>
              <w:t>74.00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0.66</w:t>
            </w:r>
          </w:p>
        </w:tc>
        <w:tc>
          <w:tcPr>
            <w:tcW w:w="1107" w:type="dxa"/>
            <w:vAlign w:val="center"/>
          </w:tcPr>
          <w:p>
            <w:r>
              <w:t>4.50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</w:tbl>
    <w:p>
      <w:pPr>
        <w:pStyle w:val="3"/>
        <w:ind w:firstLine="578" w:firstLineChars="241"/>
        <w:rPr>
          <w:sz w:val="24"/>
          <w:szCs w:val="24"/>
        </w:rPr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7</w:t>
      </w:r>
      <w:r>
        <w:fldChar w:fldCharType="end"/>
      </w:r>
      <w:r>
        <w:rPr>
          <w:rFonts w:hint="eastAsia"/>
        </w:rPr>
        <w:t>外墙平均热工特性-北向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外墙构造一</w:t>
            </w:r>
          </w:p>
        </w:tc>
        <w:tc>
          <w:tcPr>
            <w:tcW w:w="1121" w:type="dxa"/>
            <w:vAlign w:val="center"/>
          </w:tcPr>
          <w:p>
            <w:r>
              <w:t>主墙体</w:t>
            </w:r>
          </w:p>
        </w:tc>
        <w:tc>
          <w:tcPr>
            <w:tcW w:w="991" w:type="dxa"/>
            <w:vAlign w:val="center"/>
          </w:tcPr>
          <w:p>
            <w:r>
              <w:t>61.58</w:t>
            </w:r>
          </w:p>
        </w:tc>
        <w:tc>
          <w:tcPr>
            <w:tcW w:w="950" w:type="dxa"/>
            <w:vAlign w:val="center"/>
          </w:tcPr>
          <w:p>
            <w:r>
              <w:t>0.844</w:t>
            </w:r>
          </w:p>
        </w:tc>
        <w:tc>
          <w:tcPr>
            <w:tcW w:w="1107" w:type="dxa"/>
            <w:vAlign w:val="center"/>
          </w:tcPr>
          <w:p>
            <w:r>
              <w:t>0.32</w:t>
            </w:r>
          </w:p>
        </w:tc>
        <w:tc>
          <w:tcPr>
            <w:tcW w:w="1107" w:type="dxa"/>
            <w:vAlign w:val="center"/>
          </w:tcPr>
          <w:p>
            <w:r>
              <w:t>5.59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热桥梁构造一</w:t>
            </w:r>
          </w:p>
        </w:tc>
        <w:tc>
          <w:tcPr>
            <w:tcW w:w="1121" w:type="dxa"/>
            <w:vAlign w:val="center"/>
          </w:tcPr>
          <w:p>
            <w:r>
              <w:t>热桥梁</w:t>
            </w:r>
          </w:p>
        </w:tc>
        <w:tc>
          <w:tcPr>
            <w:tcW w:w="991" w:type="dxa"/>
            <w:vAlign w:val="center"/>
          </w:tcPr>
          <w:p>
            <w:r>
              <w:t>8.66</w:t>
            </w:r>
          </w:p>
        </w:tc>
        <w:tc>
          <w:tcPr>
            <w:tcW w:w="950" w:type="dxa"/>
            <w:vAlign w:val="center"/>
          </w:tcPr>
          <w:p>
            <w:r>
              <w:t>0.119</w:t>
            </w:r>
          </w:p>
        </w:tc>
        <w:tc>
          <w:tcPr>
            <w:tcW w:w="1107" w:type="dxa"/>
            <w:vAlign w:val="center"/>
          </w:tcPr>
          <w:p>
            <w:r>
              <w:t>0.40</w:t>
            </w:r>
          </w:p>
        </w:tc>
        <w:tc>
          <w:tcPr>
            <w:tcW w:w="1107" w:type="dxa"/>
            <w:vAlign w:val="center"/>
          </w:tcPr>
          <w:p>
            <w:r>
              <w:t>4.05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热桥板构造一</w:t>
            </w:r>
          </w:p>
        </w:tc>
        <w:tc>
          <w:tcPr>
            <w:tcW w:w="1121" w:type="dxa"/>
            <w:vAlign w:val="center"/>
          </w:tcPr>
          <w:p>
            <w:r>
              <w:t>热桥板</w:t>
            </w:r>
          </w:p>
        </w:tc>
        <w:tc>
          <w:tcPr>
            <w:tcW w:w="991" w:type="dxa"/>
            <w:vAlign w:val="center"/>
          </w:tcPr>
          <w:p>
            <w:r>
              <w:t>2.74</w:t>
            </w:r>
          </w:p>
        </w:tc>
        <w:tc>
          <w:tcPr>
            <w:tcW w:w="950" w:type="dxa"/>
            <w:vAlign w:val="center"/>
          </w:tcPr>
          <w:p>
            <w:r>
              <w:t>0.037</w:t>
            </w:r>
          </w:p>
        </w:tc>
        <w:tc>
          <w:tcPr>
            <w:tcW w:w="1107" w:type="dxa"/>
            <w:vAlign w:val="center"/>
          </w:tcPr>
          <w:p>
            <w:r>
              <w:t>0.39</w:t>
            </w:r>
          </w:p>
        </w:tc>
        <w:tc>
          <w:tcPr>
            <w:tcW w:w="1107" w:type="dxa"/>
            <w:vAlign w:val="center"/>
          </w:tcPr>
          <w:p>
            <w:r>
              <w:t>4.30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合计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991" w:type="dxa"/>
            <w:vAlign w:val="center"/>
          </w:tcPr>
          <w:p>
            <w:r>
              <w:t>72.98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0.33</w:t>
            </w:r>
          </w:p>
        </w:tc>
        <w:tc>
          <w:tcPr>
            <w:tcW w:w="1107" w:type="dxa"/>
            <w:vAlign w:val="center"/>
          </w:tcPr>
          <w:p>
            <w:r>
              <w:t>5.36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</w:tbl>
    <w:p>
      <w:pPr>
        <w:pStyle w:val="3"/>
        <w:ind w:firstLine="578" w:firstLineChars="241"/>
        <w:rPr>
          <w:sz w:val="24"/>
          <w:szCs w:val="24"/>
        </w:rPr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8</w:t>
      </w:r>
      <w:r>
        <w:fldChar w:fldCharType="end"/>
      </w:r>
      <w:r>
        <w:rPr>
          <w:rFonts w:hint="eastAsia"/>
        </w:rPr>
        <w:t>外墙平均热工特性-东向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外墙构造一</w:t>
            </w:r>
          </w:p>
        </w:tc>
        <w:tc>
          <w:tcPr>
            <w:tcW w:w="1121" w:type="dxa"/>
            <w:vAlign w:val="center"/>
          </w:tcPr>
          <w:p>
            <w:r>
              <w:t>主墙体</w:t>
            </w:r>
          </w:p>
        </w:tc>
        <w:tc>
          <w:tcPr>
            <w:tcW w:w="991" w:type="dxa"/>
            <w:vAlign w:val="center"/>
          </w:tcPr>
          <w:p>
            <w:r>
              <w:t>45.09</w:t>
            </w:r>
          </w:p>
        </w:tc>
        <w:tc>
          <w:tcPr>
            <w:tcW w:w="950" w:type="dxa"/>
            <w:vAlign w:val="center"/>
          </w:tcPr>
          <w:p>
            <w:r>
              <w:t>0.857</w:t>
            </w:r>
          </w:p>
        </w:tc>
        <w:tc>
          <w:tcPr>
            <w:tcW w:w="1107" w:type="dxa"/>
            <w:vAlign w:val="center"/>
          </w:tcPr>
          <w:p>
            <w:r>
              <w:t>0.32</w:t>
            </w:r>
          </w:p>
        </w:tc>
        <w:tc>
          <w:tcPr>
            <w:tcW w:w="1107" w:type="dxa"/>
            <w:vAlign w:val="center"/>
          </w:tcPr>
          <w:p>
            <w:r>
              <w:t>5.59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热桥梁构造一</w:t>
            </w:r>
          </w:p>
        </w:tc>
        <w:tc>
          <w:tcPr>
            <w:tcW w:w="1121" w:type="dxa"/>
            <w:vAlign w:val="center"/>
          </w:tcPr>
          <w:p>
            <w:r>
              <w:t>热桥梁</w:t>
            </w:r>
          </w:p>
        </w:tc>
        <w:tc>
          <w:tcPr>
            <w:tcW w:w="991" w:type="dxa"/>
            <w:vAlign w:val="center"/>
          </w:tcPr>
          <w:p>
            <w:r>
              <w:t>5.73</w:t>
            </w:r>
          </w:p>
        </w:tc>
        <w:tc>
          <w:tcPr>
            <w:tcW w:w="950" w:type="dxa"/>
            <w:vAlign w:val="center"/>
          </w:tcPr>
          <w:p>
            <w:r>
              <w:t>0.109</w:t>
            </w:r>
          </w:p>
        </w:tc>
        <w:tc>
          <w:tcPr>
            <w:tcW w:w="1107" w:type="dxa"/>
            <w:vAlign w:val="center"/>
          </w:tcPr>
          <w:p>
            <w:r>
              <w:t>0.40</w:t>
            </w:r>
          </w:p>
        </w:tc>
        <w:tc>
          <w:tcPr>
            <w:tcW w:w="1107" w:type="dxa"/>
            <w:vAlign w:val="center"/>
          </w:tcPr>
          <w:p>
            <w:r>
              <w:t>4.05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热桥板构造一</w:t>
            </w:r>
          </w:p>
        </w:tc>
        <w:tc>
          <w:tcPr>
            <w:tcW w:w="1121" w:type="dxa"/>
            <w:vAlign w:val="center"/>
          </w:tcPr>
          <w:p>
            <w:r>
              <w:t>热桥板</w:t>
            </w:r>
          </w:p>
        </w:tc>
        <w:tc>
          <w:tcPr>
            <w:tcW w:w="991" w:type="dxa"/>
            <w:vAlign w:val="center"/>
          </w:tcPr>
          <w:p>
            <w:r>
              <w:t>1.81</w:t>
            </w:r>
          </w:p>
        </w:tc>
        <w:tc>
          <w:tcPr>
            <w:tcW w:w="950" w:type="dxa"/>
            <w:vAlign w:val="center"/>
          </w:tcPr>
          <w:p>
            <w:r>
              <w:t>0.034</w:t>
            </w:r>
          </w:p>
        </w:tc>
        <w:tc>
          <w:tcPr>
            <w:tcW w:w="1107" w:type="dxa"/>
            <w:vAlign w:val="center"/>
          </w:tcPr>
          <w:p>
            <w:r>
              <w:t>0.39</w:t>
            </w:r>
          </w:p>
        </w:tc>
        <w:tc>
          <w:tcPr>
            <w:tcW w:w="1107" w:type="dxa"/>
            <w:vAlign w:val="center"/>
          </w:tcPr>
          <w:p>
            <w:r>
              <w:t>4.30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合计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991" w:type="dxa"/>
            <w:vAlign w:val="center"/>
          </w:tcPr>
          <w:p>
            <w:r>
              <w:t>52.63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0.33</w:t>
            </w:r>
          </w:p>
        </w:tc>
        <w:tc>
          <w:tcPr>
            <w:tcW w:w="1107" w:type="dxa"/>
            <w:vAlign w:val="center"/>
          </w:tcPr>
          <w:p>
            <w:r>
              <w:t>5.38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</w:tbl>
    <w:p>
      <w:pPr>
        <w:pStyle w:val="3"/>
        <w:ind w:firstLine="578" w:firstLineChars="241"/>
        <w:rPr>
          <w:sz w:val="24"/>
          <w:szCs w:val="24"/>
        </w:rPr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9</w:t>
      </w:r>
      <w:r>
        <w:fldChar w:fldCharType="end"/>
      </w:r>
      <w:r>
        <w:rPr>
          <w:rFonts w:hint="eastAsia"/>
        </w:rPr>
        <w:t>外墙平均热工特性-西向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外墙构造一</w:t>
            </w:r>
          </w:p>
        </w:tc>
        <w:tc>
          <w:tcPr>
            <w:tcW w:w="1121" w:type="dxa"/>
            <w:vAlign w:val="center"/>
          </w:tcPr>
          <w:p>
            <w:r>
              <w:t>主墙体</w:t>
            </w:r>
          </w:p>
        </w:tc>
        <w:tc>
          <w:tcPr>
            <w:tcW w:w="991" w:type="dxa"/>
            <w:vAlign w:val="center"/>
          </w:tcPr>
          <w:p>
            <w:r>
              <w:t>41.44</w:t>
            </w:r>
          </w:p>
        </w:tc>
        <w:tc>
          <w:tcPr>
            <w:tcW w:w="950" w:type="dxa"/>
            <w:vAlign w:val="center"/>
          </w:tcPr>
          <w:p>
            <w:r>
              <w:t>0.863</w:t>
            </w:r>
          </w:p>
        </w:tc>
        <w:tc>
          <w:tcPr>
            <w:tcW w:w="1107" w:type="dxa"/>
            <w:vAlign w:val="center"/>
          </w:tcPr>
          <w:p>
            <w:r>
              <w:t>0.32</w:t>
            </w:r>
          </w:p>
        </w:tc>
        <w:tc>
          <w:tcPr>
            <w:tcW w:w="1107" w:type="dxa"/>
            <w:vAlign w:val="center"/>
          </w:tcPr>
          <w:p>
            <w:r>
              <w:t>5.59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热桥梁构造一</w:t>
            </w:r>
          </w:p>
        </w:tc>
        <w:tc>
          <w:tcPr>
            <w:tcW w:w="1121" w:type="dxa"/>
            <w:vAlign w:val="center"/>
          </w:tcPr>
          <w:p>
            <w:r>
              <w:t>热桥梁</w:t>
            </w:r>
          </w:p>
        </w:tc>
        <w:tc>
          <w:tcPr>
            <w:tcW w:w="991" w:type="dxa"/>
            <w:vAlign w:val="center"/>
          </w:tcPr>
          <w:p>
            <w:r>
              <w:t>5.02</w:t>
            </w:r>
          </w:p>
        </w:tc>
        <w:tc>
          <w:tcPr>
            <w:tcW w:w="950" w:type="dxa"/>
            <w:vAlign w:val="center"/>
          </w:tcPr>
          <w:p>
            <w:r>
              <w:t>0.104</w:t>
            </w:r>
          </w:p>
        </w:tc>
        <w:tc>
          <w:tcPr>
            <w:tcW w:w="1107" w:type="dxa"/>
            <w:vAlign w:val="center"/>
          </w:tcPr>
          <w:p>
            <w:r>
              <w:t>0.40</w:t>
            </w:r>
          </w:p>
        </w:tc>
        <w:tc>
          <w:tcPr>
            <w:tcW w:w="1107" w:type="dxa"/>
            <w:vAlign w:val="center"/>
          </w:tcPr>
          <w:p>
            <w:r>
              <w:t>4.05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热桥板构造一</w:t>
            </w:r>
          </w:p>
        </w:tc>
        <w:tc>
          <w:tcPr>
            <w:tcW w:w="1121" w:type="dxa"/>
            <w:vAlign w:val="center"/>
          </w:tcPr>
          <w:p>
            <w:r>
              <w:t>热桥板</w:t>
            </w:r>
          </w:p>
        </w:tc>
        <w:tc>
          <w:tcPr>
            <w:tcW w:w="991" w:type="dxa"/>
            <w:vAlign w:val="center"/>
          </w:tcPr>
          <w:p>
            <w:r>
              <w:t>1.58</w:t>
            </w:r>
          </w:p>
        </w:tc>
        <w:tc>
          <w:tcPr>
            <w:tcW w:w="950" w:type="dxa"/>
            <w:vAlign w:val="center"/>
          </w:tcPr>
          <w:p>
            <w:r>
              <w:t>0.033</w:t>
            </w:r>
          </w:p>
        </w:tc>
        <w:tc>
          <w:tcPr>
            <w:tcW w:w="1107" w:type="dxa"/>
            <w:vAlign w:val="center"/>
          </w:tcPr>
          <w:p>
            <w:r>
              <w:t>0.39</w:t>
            </w:r>
          </w:p>
        </w:tc>
        <w:tc>
          <w:tcPr>
            <w:tcW w:w="1107" w:type="dxa"/>
            <w:vAlign w:val="center"/>
          </w:tcPr>
          <w:p>
            <w:r>
              <w:t>4.30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合计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991" w:type="dxa"/>
            <w:vAlign w:val="center"/>
          </w:tcPr>
          <w:p>
            <w:r>
              <w:t>48.04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0.33</w:t>
            </w:r>
          </w:p>
        </w:tc>
        <w:tc>
          <w:tcPr>
            <w:tcW w:w="1107" w:type="dxa"/>
            <w:vAlign w:val="center"/>
          </w:tcPr>
          <w:p>
            <w:r>
              <w:t>5.39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</w:tbl>
    <w:p>
      <w:pPr>
        <w:pStyle w:val="3"/>
        <w:ind w:firstLine="578" w:firstLineChars="241"/>
        <w:rPr>
          <w:sz w:val="24"/>
          <w:szCs w:val="24"/>
        </w:rPr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10</w:t>
      </w:r>
      <w:r>
        <w:fldChar w:fldCharType="end"/>
      </w:r>
      <w:r>
        <w:rPr>
          <w:rFonts w:hint="eastAsia"/>
        </w:rPr>
        <w:t>外墙平均热工特性-总体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1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1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外墙构造一</w:t>
            </w:r>
          </w:p>
        </w:tc>
        <w:tc>
          <w:tcPr>
            <w:tcW w:w="1121" w:type="dxa"/>
            <w:vAlign w:val="center"/>
          </w:tcPr>
          <w:p>
            <w:r>
              <w:t>主墙体</w:t>
            </w:r>
          </w:p>
        </w:tc>
        <w:tc>
          <w:tcPr>
            <w:tcW w:w="991" w:type="dxa"/>
            <w:vAlign w:val="center"/>
          </w:tcPr>
          <w:p>
            <w:r>
              <w:t>187.29</w:t>
            </w:r>
          </w:p>
        </w:tc>
        <w:tc>
          <w:tcPr>
            <w:tcW w:w="950" w:type="dxa"/>
            <w:vAlign w:val="center"/>
          </w:tcPr>
          <w:p>
            <w:r>
              <w:t>0.756</w:t>
            </w:r>
          </w:p>
        </w:tc>
        <w:tc>
          <w:tcPr>
            <w:tcW w:w="1107" w:type="dxa"/>
            <w:vAlign w:val="center"/>
          </w:tcPr>
          <w:p>
            <w:r>
              <w:t>0.32</w:t>
            </w:r>
          </w:p>
        </w:tc>
        <w:tc>
          <w:tcPr>
            <w:tcW w:w="1107" w:type="dxa"/>
            <w:vAlign w:val="center"/>
          </w:tcPr>
          <w:p>
            <w:r>
              <w:t>5.59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阳台隔墙构造一</w:t>
            </w:r>
          </w:p>
        </w:tc>
        <w:tc>
          <w:tcPr>
            <w:tcW w:w="1121" w:type="dxa"/>
            <w:vAlign w:val="center"/>
          </w:tcPr>
          <w:p>
            <w:r>
              <w:t>阳台隔墙</w:t>
            </w:r>
          </w:p>
        </w:tc>
        <w:tc>
          <w:tcPr>
            <w:tcW w:w="991" w:type="dxa"/>
            <w:vAlign w:val="center"/>
          </w:tcPr>
          <w:p>
            <w:r>
              <w:t>27.22</w:t>
            </w:r>
          </w:p>
        </w:tc>
        <w:tc>
          <w:tcPr>
            <w:tcW w:w="950" w:type="dxa"/>
            <w:vAlign w:val="center"/>
          </w:tcPr>
          <w:p>
            <w:r>
              <w:t>0.110</w:t>
            </w:r>
          </w:p>
        </w:tc>
        <w:tc>
          <w:tcPr>
            <w:tcW w:w="1107" w:type="dxa"/>
            <w:vAlign w:val="center"/>
          </w:tcPr>
          <w:p>
            <w:r>
              <w:t>1.22</w:t>
            </w:r>
          </w:p>
        </w:tc>
        <w:tc>
          <w:tcPr>
            <w:tcW w:w="1107" w:type="dxa"/>
            <w:vAlign w:val="center"/>
          </w:tcPr>
          <w:p>
            <w:r>
              <w:t>3.03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热桥梁构造一</w:t>
            </w:r>
          </w:p>
        </w:tc>
        <w:tc>
          <w:tcPr>
            <w:tcW w:w="1121" w:type="dxa"/>
            <w:vAlign w:val="center"/>
          </w:tcPr>
          <w:p>
            <w:r>
              <w:t>热桥梁</w:t>
            </w:r>
          </w:p>
        </w:tc>
        <w:tc>
          <w:tcPr>
            <w:tcW w:w="991" w:type="dxa"/>
            <w:vAlign w:val="center"/>
          </w:tcPr>
          <w:p>
            <w:r>
              <w:t>25.18</w:t>
            </w:r>
          </w:p>
        </w:tc>
        <w:tc>
          <w:tcPr>
            <w:tcW w:w="950" w:type="dxa"/>
            <w:vAlign w:val="center"/>
          </w:tcPr>
          <w:p>
            <w:r>
              <w:t>0.102</w:t>
            </w:r>
          </w:p>
        </w:tc>
        <w:tc>
          <w:tcPr>
            <w:tcW w:w="1107" w:type="dxa"/>
            <w:vAlign w:val="center"/>
          </w:tcPr>
          <w:p>
            <w:r>
              <w:t>0.40</w:t>
            </w:r>
          </w:p>
        </w:tc>
        <w:tc>
          <w:tcPr>
            <w:tcW w:w="1107" w:type="dxa"/>
            <w:vAlign w:val="center"/>
          </w:tcPr>
          <w:p>
            <w:r>
              <w:t>4.05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热桥板构造一</w:t>
            </w:r>
          </w:p>
        </w:tc>
        <w:tc>
          <w:tcPr>
            <w:tcW w:w="1121" w:type="dxa"/>
            <w:vAlign w:val="center"/>
          </w:tcPr>
          <w:p>
            <w:r>
              <w:t>热桥板</w:t>
            </w:r>
          </w:p>
        </w:tc>
        <w:tc>
          <w:tcPr>
            <w:tcW w:w="991" w:type="dxa"/>
            <w:vAlign w:val="center"/>
          </w:tcPr>
          <w:p>
            <w:r>
              <w:t>7.95</w:t>
            </w:r>
          </w:p>
        </w:tc>
        <w:tc>
          <w:tcPr>
            <w:tcW w:w="950" w:type="dxa"/>
            <w:vAlign w:val="center"/>
          </w:tcPr>
          <w:p>
            <w:r>
              <w:t>0.032</w:t>
            </w:r>
          </w:p>
        </w:tc>
        <w:tc>
          <w:tcPr>
            <w:tcW w:w="1107" w:type="dxa"/>
            <w:vAlign w:val="center"/>
          </w:tcPr>
          <w:p>
            <w:r>
              <w:t>0.39</w:t>
            </w:r>
          </w:p>
        </w:tc>
        <w:tc>
          <w:tcPr>
            <w:tcW w:w="1107" w:type="dxa"/>
            <w:vAlign w:val="center"/>
          </w:tcPr>
          <w:p>
            <w:r>
              <w:t>4.30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0" w:type="dxa"/>
            <w:vAlign w:val="center"/>
          </w:tcPr>
          <w:p>
            <w:r>
              <w:t>合计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991" w:type="dxa"/>
            <w:vAlign w:val="center"/>
          </w:tcPr>
          <w:p>
            <w:r>
              <w:t>247.65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0.43</w:t>
            </w:r>
          </w:p>
        </w:tc>
        <w:tc>
          <w:tcPr>
            <w:tcW w:w="1107" w:type="dxa"/>
            <w:vAlign w:val="center"/>
          </w:tcPr>
          <w:p>
            <w:r>
              <w:t>5.11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</w:tbl>
    <w:p>
      <w:pPr>
        <w:pStyle w:val="3"/>
        <w:ind w:firstLine="578" w:firstLineChars="241"/>
        <w:rPr>
          <w:sz w:val="24"/>
          <w:szCs w:val="24"/>
        </w:rPr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11</w:t>
      </w:r>
      <w:r>
        <w:fldChar w:fldCharType="end"/>
      </w:r>
      <w:r>
        <w:rPr>
          <w:rFonts w:hint="eastAsia"/>
        </w:rPr>
        <w:t xml:space="preserve"> 阳台顶板构造一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挤塑聚苯板(ρ=25-32)</w:t>
            </w:r>
          </w:p>
        </w:tc>
        <w:tc>
          <w:tcPr>
            <w:tcW w:w="849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0.320</w:t>
            </w:r>
          </w:p>
        </w:tc>
        <w:tc>
          <w:tcPr>
            <w:tcW w:w="848" w:type="dxa"/>
            <w:vAlign w:val="center"/>
          </w:tcPr>
          <w:p>
            <w:r>
              <w:t>1.10</w:t>
            </w:r>
          </w:p>
        </w:tc>
        <w:tc>
          <w:tcPr>
            <w:tcW w:w="1075" w:type="dxa"/>
            <w:vAlign w:val="center"/>
          </w:tcPr>
          <w:p>
            <w:r>
              <w:t>3.030</w:t>
            </w:r>
          </w:p>
        </w:tc>
        <w:tc>
          <w:tcPr>
            <w:tcW w:w="1064" w:type="dxa"/>
            <w:vAlign w:val="center"/>
          </w:tcPr>
          <w:p>
            <w:r>
              <w:t>1.067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0.029</w:t>
            </w:r>
          </w:p>
        </w:tc>
        <w:tc>
          <w:tcPr>
            <w:tcW w:w="1064" w:type="dxa"/>
            <w:vAlign w:val="center"/>
          </w:tcPr>
          <w:p>
            <w:r>
              <w:t>0.494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190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3.102</w:t>
            </w:r>
          </w:p>
        </w:tc>
        <w:tc>
          <w:tcPr>
            <w:tcW w:w="1064" w:type="dxa"/>
            <w:vAlign w:val="center"/>
          </w:tcPr>
          <w:p>
            <w:r>
              <w:t>2.050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0.31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12</w:t>
      </w:r>
      <w:r>
        <w:fldChar w:fldCharType="end"/>
      </w:r>
      <w:r>
        <w:rPr>
          <w:rFonts w:hint="eastAsia"/>
        </w:rPr>
        <w:t xml:space="preserve"> 阳台栏板构造一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挤塑聚苯板(ρ=25-32)</w:t>
            </w:r>
          </w:p>
        </w:tc>
        <w:tc>
          <w:tcPr>
            <w:tcW w:w="849" w:type="dxa"/>
            <w:vAlign w:val="center"/>
          </w:tcPr>
          <w:p>
            <w:r>
              <w:t>60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0.320</w:t>
            </w:r>
          </w:p>
        </w:tc>
        <w:tc>
          <w:tcPr>
            <w:tcW w:w="848" w:type="dxa"/>
            <w:vAlign w:val="center"/>
          </w:tcPr>
          <w:p>
            <w:r>
              <w:t>1.10</w:t>
            </w:r>
          </w:p>
        </w:tc>
        <w:tc>
          <w:tcPr>
            <w:tcW w:w="1075" w:type="dxa"/>
            <w:vAlign w:val="center"/>
          </w:tcPr>
          <w:p>
            <w:r>
              <w:t>1.818</w:t>
            </w:r>
          </w:p>
        </w:tc>
        <w:tc>
          <w:tcPr>
            <w:tcW w:w="1064" w:type="dxa"/>
            <w:vAlign w:val="center"/>
          </w:tcPr>
          <w:p>
            <w:r>
              <w:t>0.640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0.029</w:t>
            </w:r>
          </w:p>
        </w:tc>
        <w:tc>
          <w:tcPr>
            <w:tcW w:w="1064" w:type="dxa"/>
            <w:vAlign w:val="center"/>
          </w:tcPr>
          <w:p>
            <w:r>
              <w:t>0.494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130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1.868</w:t>
            </w:r>
          </w:p>
        </w:tc>
        <w:tc>
          <w:tcPr>
            <w:tcW w:w="1064" w:type="dxa"/>
            <w:vAlign w:val="center"/>
          </w:tcPr>
          <w:p>
            <w:r>
              <w:t>1.379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0.50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13</w:t>
      </w:r>
      <w:r>
        <w:fldChar w:fldCharType="end"/>
      </w:r>
      <w:r>
        <w:rPr>
          <w:rFonts w:hint="eastAsia"/>
        </w:rPr>
        <w:t xml:space="preserve"> 周边地面构造一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挤塑聚苯板(ρ=25-32)</w:t>
            </w:r>
          </w:p>
        </w:tc>
        <w:tc>
          <w:tcPr>
            <w:tcW w:w="849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0.030</w:t>
            </w:r>
          </w:p>
        </w:tc>
        <w:tc>
          <w:tcPr>
            <w:tcW w:w="1075" w:type="dxa"/>
            <w:vAlign w:val="center"/>
          </w:tcPr>
          <w:p>
            <w:r>
              <w:t>0.320</w:t>
            </w:r>
          </w:p>
        </w:tc>
        <w:tc>
          <w:tcPr>
            <w:tcW w:w="848" w:type="dxa"/>
            <w:vAlign w:val="center"/>
          </w:tcPr>
          <w:p>
            <w:r>
              <w:t>1.05</w:t>
            </w:r>
          </w:p>
        </w:tc>
        <w:tc>
          <w:tcPr>
            <w:tcW w:w="1075" w:type="dxa"/>
            <w:vAlign w:val="center"/>
          </w:tcPr>
          <w:p>
            <w:r>
              <w:t>1.587</w:t>
            </w:r>
          </w:p>
        </w:tc>
        <w:tc>
          <w:tcPr>
            <w:tcW w:w="1064" w:type="dxa"/>
            <w:vAlign w:val="center"/>
          </w:tcPr>
          <w:p>
            <w:r>
              <w:t>0.533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190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1.678</w:t>
            </w:r>
          </w:p>
        </w:tc>
        <w:tc>
          <w:tcPr>
            <w:tcW w:w="1064" w:type="dxa"/>
            <w:vAlign w:val="center"/>
          </w:tcPr>
          <w:p>
            <w:r>
              <w:t>1.964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传热系数K=1/(0.11+∑R)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0.29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14</w:t>
      </w:r>
      <w:r>
        <w:fldChar w:fldCharType="end"/>
      </w:r>
      <w:r>
        <w:rPr>
          <w:rFonts w:hint="eastAsia"/>
        </w:rPr>
        <w:t xml:space="preserve"> 非周边地面构造一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140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0.090</w:t>
            </w:r>
          </w:p>
        </w:tc>
        <w:tc>
          <w:tcPr>
            <w:tcW w:w="1064" w:type="dxa"/>
            <w:vAlign w:val="center"/>
          </w:tcPr>
          <w:p>
            <w:r>
              <w:t>1.431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传热系数K=1/(0.11+∑R)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0.30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15</w:t>
      </w:r>
      <w:r>
        <w:fldChar w:fldCharType="end"/>
      </w:r>
      <w:r>
        <w:rPr>
          <w:rFonts w:hint="eastAsia"/>
        </w:rPr>
        <w:t xml:space="preserve"> 楼梯间隔墙构造一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玻化微珠保温浆料</w:t>
            </w:r>
          </w:p>
        </w:tc>
        <w:tc>
          <w:tcPr>
            <w:tcW w:w="849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0.080</w:t>
            </w:r>
          </w:p>
        </w:tc>
        <w:tc>
          <w:tcPr>
            <w:tcW w:w="1075" w:type="dxa"/>
            <w:vAlign w:val="center"/>
          </w:tcPr>
          <w:p>
            <w:r>
              <w:t>1.462</w:t>
            </w:r>
          </w:p>
        </w:tc>
        <w:tc>
          <w:tcPr>
            <w:tcW w:w="848" w:type="dxa"/>
            <w:vAlign w:val="center"/>
          </w:tcPr>
          <w:p>
            <w:r>
              <w:t>1.05</w:t>
            </w:r>
          </w:p>
        </w:tc>
        <w:tc>
          <w:tcPr>
            <w:tcW w:w="1075" w:type="dxa"/>
            <w:vAlign w:val="center"/>
          </w:tcPr>
          <w:p>
            <w:r>
              <w:t>0.357</w:t>
            </w:r>
          </w:p>
        </w:tc>
        <w:tc>
          <w:tcPr>
            <w:tcW w:w="1064" w:type="dxa"/>
            <w:vAlign w:val="center"/>
          </w:tcPr>
          <w:p>
            <w:r>
              <w:t>0.548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270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0.518</w:t>
            </w:r>
          </w:p>
        </w:tc>
        <w:tc>
          <w:tcPr>
            <w:tcW w:w="1064" w:type="dxa"/>
            <w:vAlign w:val="center"/>
          </w:tcPr>
          <w:p>
            <w:r>
              <w:t>3.018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1.35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16</w:t>
      </w:r>
      <w:r>
        <w:fldChar w:fldCharType="end"/>
      </w:r>
      <w:r>
        <w:rPr>
          <w:rFonts w:hint="eastAsia"/>
        </w:rPr>
        <w:t xml:space="preserve"> 控温房间隔墙构造一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混凝土多孔砖(190六孔砖）</w:t>
            </w:r>
          </w:p>
        </w:tc>
        <w:tc>
          <w:tcPr>
            <w:tcW w:w="849" w:type="dxa"/>
            <w:vAlign w:val="center"/>
          </w:tcPr>
          <w:p>
            <w:r>
              <w:t>190</w:t>
            </w:r>
          </w:p>
        </w:tc>
        <w:tc>
          <w:tcPr>
            <w:tcW w:w="1075" w:type="dxa"/>
            <w:vAlign w:val="center"/>
          </w:tcPr>
          <w:p>
            <w:r>
              <w:t>0.750</w:t>
            </w:r>
          </w:p>
        </w:tc>
        <w:tc>
          <w:tcPr>
            <w:tcW w:w="1075" w:type="dxa"/>
            <w:vAlign w:val="center"/>
          </w:tcPr>
          <w:p>
            <w:r>
              <w:t>7.490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0.253</w:t>
            </w:r>
          </w:p>
        </w:tc>
        <w:tc>
          <w:tcPr>
            <w:tcW w:w="1064" w:type="dxa"/>
            <w:vAlign w:val="center"/>
          </w:tcPr>
          <w:p>
            <w:r>
              <w:t>1.897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230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0.300</w:t>
            </w:r>
          </w:p>
        </w:tc>
        <w:tc>
          <w:tcPr>
            <w:tcW w:w="1064" w:type="dxa"/>
            <w:vAlign w:val="center"/>
          </w:tcPr>
          <w:p>
            <w:r>
              <w:t>2.391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1.93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17</w:t>
      </w:r>
      <w:r>
        <w:fldChar w:fldCharType="end"/>
      </w:r>
      <w:r>
        <w:rPr>
          <w:rFonts w:hint="eastAsia"/>
        </w:rPr>
        <w:t xml:space="preserve"> 控温与非控温隔墙构造一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玻化微珠保温浆料</w:t>
            </w:r>
          </w:p>
        </w:tc>
        <w:tc>
          <w:tcPr>
            <w:tcW w:w="849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0.080</w:t>
            </w:r>
          </w:p>
        </w:tc>
        <w:tc>
          <w:tcPr>
            <w:tcW w:w="1075" w:type="dxa"/>
            <w:vAlign w:val="center"/>
          </w:tcPr>
          <w:p>
            <w:r>
              <w:t>1.462</w:t>
            </w:r>
          </w:p>
        </w:tc>
        <w:tc>
          <w:tcPr>
            <w:tcW w:w="848" w:type="dxa"/>
            <w:vAlign w:val="center"/>
          </w:tcPr>
          <w:p>
            <w:r>
              <w:t>1.05</w:t>
            </w:r>
          </w:p>
        </w:tc>
        <w:tc>
          <w:tcPr>
            <w:tcW w:w="1075" w:type="dxa"/>
            <w:vAlign w:val="center"/>
          </w:tcPr>
          <w:p>
            <w:r>
              <w:t>0.357</w:t>
            </w:r>
          </w:p>
        </w:tc>
        <w:tc>
          <w:tcPr>
            <w:tcW w:w="1064" w:type="dxa"/>
            <w:vAlign w:val="center"/>
          </w:tcPr>
          <w:p>
            <w:r>
              <w:t>0.548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270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0.518</w:t>
            </w:r>
          </w:p>
        </w:tc>
        <w:tc>
          <w:tcPr>
            <w:tcW w:w="1064" w:type="dxa"/>
            <w:vAlign w:val="center"/>
          </w:tcPr>
          <w:p>
            <w:r>
              <w:t>3.018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1.35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18</w:t>
      </w:r>
      <w:r>
        <w:fldChar w:fldCharType="end"/>
      </w:r>
      <w:r>
        <w:rPr>
          <w:rFonts w:hint="eastAsia"/>
        </w:rPr>
        <w:t xml:space="preserve"> 控温房间楼板构造一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石灰砂浆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160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1.679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2.98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19</w:t>
      </w:r>
      <w:r>
        <w:fldChar w:fldCharType="end"/>
      </w:r>
      <w:r>
        <w:rPr>
          <w:rFonts w:hint="eastAsia"/>
        </w:rPr>
        <w:t xml:space="preserve"> 控温与非控温楼板构造一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0.032</w:t>
            </w:r>
          </w:p>
        </w:tc>
        <w:tc>
          <w:tcPr>
            <w:tcW w:w="1064" w:type="dxa"/>
            <w:vAlign w:val="center"/>
          </w:tcPr>
          <w:p>
            <w:r>
              <w:t>0.367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C20细石混凝土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1.280</w:t>
            </w:r>
          </w:p>
        </w:tc>
        <w:tc>
          <w:tcPr>
            <w:tcW w:w="1075" w:type="dxa"/>
            <w:vAlign w:val="center"/>
          </w:tcPr>
          <w:p>
            <w:r>
              <w:t>13.087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0.016</w:t>
            </w:r>
          </w:p>
        </w:tc>
        <w:tc>
          <w:tcPr>
            <w:tcW w:w="1064" w:type="dxa"/>
            <w:vAlign w:val="center"/>
          </w:tcPr>
          <w:p>
            <w:r>
              <w:t>0.204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挤塑聚苯板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0.033</w:t>
            </w:r>
          </w:p>
        </w:tc>
        <w:tc>
          <w:tcPr>
            <w:tcW w:w="1075" w:type="dxa"/>
            <w:vAlign w:val="center"/>
          </w:tcPr>
          <w:p>
            <w:r>
              <w:t>0.347</w:t>
            </w:r>
          </w:p>
        </w:tc>
        <w:tc>
          <w:tcPr>
            <w:tcW w:w="848" w:type="dxa"/>
            <w:vAlign w:val="center"/>
          </w:tcPr>
          <w:p>
            <w:r>
              <w:t>1.05</w:t>
            </w:r>
          </w:p>
        </w:tc>
        <w:tc>
          <w:tcPr>
            <w:tcW w:w="1075" w:type="dxa"/>
            <w:vAlign w:val="center"/>
          </w:tcPr>
          <w:p>
            <w:r>
              <w:t>0.577</w:t>
            </w:r>
          </w:p>
        </w:tc>
        <w:tc>
          <w:tcPr>
            <w:tcW w:w="1064" w:type="dxa"/>
            <w:vAlign w:val="center"/>
          </w:tcPr>
          <w:p>
            <w:r>
              <w:t>0.210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钢筋混凝土</w:t>
            </w:r>
          </w:p>
        </w:tc>
        <w:tc>
          <w:tcPr>
            <w:tcW w:w="849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无机纤维喷涂</w:t>
            </w:r>
          </w:p>
        </w:tc>
        <w:tc>
          <w:tcPr>
            <w:tcW w:w="849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0.042</w:t>
            </w:r>
          </w:p>
        </w:tc>
        <w:tc>
          <w:tcPr>
            <w:tcW w:w="1075" w:type="dxa"/>
            <w:vAlign w:val="center"/>
          </w:tcPr>
          <w:p>
            <w:r>
              <w:t>0.850</w:t>
            </w:r>
          </w:p>
        </w:tc>
        <w:tc>
          <w:tcPr>
            <w:tcW w:w="848" w:type="dxa"/>
            <w:vAlign w:val="center"/>
          </w:tcPr>
          <w:p>
            <w:r>
              <w:t>1.05</w:t>
            </w:r>
          </w:p>
        </w:tc>
        <w:tc>
          <w:tcPr>
            <w:tcW w:w="1075" w:type="dxa"/>
            <w:vAlign w:val="center"/>
          </w:tcPr>
          <w:p>
            <w:r>
              <w:t>1.134</w:t>
            </w:r>
          </w:p>
        </w:tc>
        <w:tc>
          <w:tcPr>
            <w:tcW w:w="1064" w:type="dxa"/>
            <w:vAlign w:val="center"/>
          </w:tcPr>
          <w:p>
            <w:r>
              <w:t>1.012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水泥砂浆</w:t>
            </w:r>
          </w:p>
        </w:tc>
        <w:tc>
          <w:tcPr>
            <w:tcW w:w="849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>
            <w:r>
              <w:t>各层之和∑</w:t>
            </w:r>
          </w:p>
        </w:tc>
        <w:tc>
          <w:tcPr>
            <w:tcW w:w="849" w:type="dxa"/>
            <w:vAlign w:val="center"/>
          </w:tcPr>
          <w:p>
            <w:r>
              <w:t>260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1.849</w:t>
            </w:r>
          </w:p>
        </w:tc>
        <w:tc>
          <w:tcPr>
            <w:tcW w:w="1064" w:type="dxa"/>
            <w:vAlign w:val="center"/>
          </w:tcPr>
          <w:p>
            <w:r>
              <w:t>3.224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6" w:type="dxa"/>
            <w:gridSpan w:val="6"/>
          </w:tcPr>
          <w:p>
            <w:pPr>
              <w:jc w:val="center"/>
            </w:pPr>
            <w:r>
              <w:t>0.48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20</w:t>
      </w:r>
      <w:r>
        <w:fldChar w:fldCharType="end"/>
      </w:r>
      <w:r>
        <w:rPr>
          <w:rFonts w:hint="eastAsia"/>
        </w:rPr>
        <w:t xml:space="preserve"> 外门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r>
              <w:t>塑钢（Kf = 2.7）6mm双银Low-E+12A+6mm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1.99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21</w:t>
      </w:r>
      <w:r>
        <w:fldChar w:fldCharType="end"/>
      </w:r>
      <w:r>
        <w:rPr>
          <w:rFonts w:hint="eastAsia"/>
        </w:rPr>
        <w:t xml:space="preserve"> 开敞阳台外门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r>
              <w:t>双层阳台金属外门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1.49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22</w:t>
      </w:r>
      <w:r>
        <w:fldChar w:fldCharType="end"/>
      </w:r>
      <w:r>
        <w:rPr>
          <w:rFonts w:hint="eastAsia"/>
        </w:rPr>
        <w:t xml:space="preserve"> 封闭阳台门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r>
              <w:t>双层金属门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1.61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23</w:t>
      </w:r>
      <w:r>
        <w:fldChar w:fldCharType="end"/>
      </w:r>
      <w:r>
        <w:rPr>
          <w:rFonts w:hint="eastAsia"/>
        </w:rPr>
        <w:t xml:space="preserve"> 户门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r>
              <w:t>双层金属门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1.61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24</w:t>
      </w:r>
      <w:r>
        <w:fldChar w:fldCharType="end"/>
      </w:r>
      <w:r>
        <w:rPr>
          <w:rFonts w:hint="eastAsia"/>
        </w:rPr>
        <w:t xml:space="preserve"> 内门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r>
              <w:t>内门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3.00</w:t>
            </w:r>
          </w:p>
        </w:tc>
      </w:tr>
    </w:tbl>
    <w:p>
      <w:pPr>
        <w:pStyle w:val="30"/>
        <w:spacing w:line="360" w:lineRule="exact"/>
        <w:ind w:firstLine="3840" w:firstLineChars="1600"/>
      </w:pPr>
    </w:p>
    <w:p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25</w:t>
      </w:r>
      <w:r>
        <w:fldChar w:fldCharType="end"/>
      </w:r>
      <w:r>
        <w:rPr>
          <w:rFonts w:hint="eastAsia"/>
        </w:rPr>
        <w:t>外窗</w:t>
      </w:r>
    </w:p>
    <w:tbl>
      <w:tblPr>
        <w:tblStyle w:val="21"/>
        <w:tblW w:w="9497" w:type="dxa"/>
        <w:tblInd w:w="25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3113"/>
        <w:gridCol w:w="18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断桥铝合金（Kf = 3.5）6mm双银Low-E+9Ar+6mm</w:t>
            </w:r>
          </w:p>
        </w:tc>
        <w:tc>
          <w:tcPr>
            <w:tcW w:w="31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2.03</w:t>
            </w:r>
          </w:p>
        </w:tc>
        <w:tc>
          <w:tcPr>
            <w:tcW w:w="183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0.36</w:t>
            </w:r>
          </w:p>
        </w:tc>
      </w:tr>
    </w:tbl>
    <w:p>
      <w:pPr>
        <w:pStyle w:val="3"/>
        <w:ind w:firstLine="578" w:firstLineChars="241"/>
        <w:rPr>
          <w:sz w:val="24"/>
          <w:szCs w:val="24"/>
          <w:lang w:val="en-US"/>
        </w:rPr>
      </w:pPr>
    </w:p>
    <w:p>
      <w:pPr>
        <w:jc w:val="center"/>
      </w:pPr>
      <w:bookmarkStart w:id="44" w:name="_Toc36538848"/>
      <w:bookmarkStart w:id="45" w:name="_Toc451436145"/>
      <w:bookmarkStart w:id="46" w:name="_Toc452108765"/>
      <w:bookmarkStart w:id="47" w:name="_Toc451698937"/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t>26</w:t>
      </w:r>
      <w:r>
        <w:fldChar w:fldCharType="end"/>
      </w:r>
      <w:bookmarkStart w:id="48" w:name="表名"/>
      <w:r>
        <w:rPr>
          <w:rFonts w:hint="eastAsia"/>
        </w:rPr>
        <w:t>阳台外窗</w:t>
      </w:r>
      <w:bookmarkEnd w:id="44"/>
      <w:bookmarkEnd w:id="48"/>
    </w:p>
    <w:tbl>
      <w:tblPr>
        <w:tblStyle w:val="21"/>
        <w:tblW w:w="9497" w:type="dxa"/>
        <w:tblInd w:w="25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3113"/>
        <w:gridCol w:w="18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bookmarkStart w:id="49" w:name="表"/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断桥铝合金（Kf = 3.5）6mm双银Low-E+9Ar+6mm</w:t>
            </w:r>
          </w:p>
        </w:tc>
        <w:tc>
          <w:tcPr>
            <w:tcW w:w="31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2.03</w:t>
            </w:r>
          </w:p>
        </w:tc>
        <w:tc>
          <w:tcPr>
            <w:tcW w:w="183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</w:pPr>
            <w:r>
              <w:t>0.36</w:t>
            </w:r>
          </w:p>
        </w:tc>
      </w:tr>
      <w:bookmarkEnd w:id="45"/>
      <w:bookmarkEnd w:id="46"/>
      <w:bookmarkEnd w:id="47"/>
      <w:bookmarkEnd w:id="49"/>
    </w:tbl>
    <w:p>
      <w:pPr>
        <w:pStyle w:val="3"/>
        <w:ind w:firstLine="578" w:firstLineChars="241"/>
        <w:rPr>
          <w:sz w:val="24"/>
          <w:szCs w:val="24"/>
          <w:lang w:val="en-US"/>
        </w:rPr>
      </w:pPr>
    </w:p>
    <w:p>
      <w:pPr>
        <w:ind w:firstLine="420" w:firstLineChars="200"/>
      </w:pPr>
      <w:bookmarkStart w:id="50" w:name="围护结构"/>
      <w:r>
        <w:rPr>
          <w:rFonts w:hint="eastAsia"/>
        </w:rPr>
        <w:t xml:space="preserve"> </w:t>
      </w:r>
      <w:bookmarkEnd w:id="50"/>
    </w:p>
    <w:p>
      <w:pPr>
        <w:pStyle w:val="5"/>
      </w:pPr>
      <w:bookmarkStart w:id="51" w:name="_Toc155345340"/>
      <w:r>
        <w:rPr>
          <w:rFonts w:hint="eastAsia"/>
        </w:rPr>
        <w:t>房间类型参数</w:t>
      </w:r>
      <w:bookmarkEnd w:id="51"/>
    </w:p>
    <w:tbl>
      <w:tblPr>
        <w:tblStyle w:val="21"/>
        <w:tblW w:w="104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1138"/>
        <w:gridCol w:w="1137"/>
        <w:gridCol w:w="1137"/>
        <w:gridCol w:w="1262"/>
        <w:gridCol w:w="1262"/>
        <w:gridCol w:w="1262"/>
        <w:gridCol w:w="12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tcW w:w="1137" w:type="dxa"/>
            <w:shd w:val="clear" w:color="auto" w:fill="E6E6E6"/>
            <w:vAlign w:val="center"/>
          </w:tcPr>
          <w:p>
            <w:pPr>
              <w:jc w:val="center"/>
            </w:pPr>
            <w:r>
              <w:t>过渡季新风量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>
            <w:pPr>
              <w:jc w:val="center"/>
            </w:pPr>
            <w:r>
              <w:t>冬季新风量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>
            <w:pPr>
              <w:jc w:val="center"/>
            </w:pPr>
            <w:r>
              <w:t>夏季新风量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平均风速(m/s)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tcW w:w="1290" w:type="dxa"/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shd w:val="clear" w:color="auto" w:fill="E6E6E6"/>
            <w:vAlign w:val="center"/>
          </w:tcPr>
          <w:p>
            <w:r>
              <w:t>主卧室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36.6(㎡/人)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2(W/㎡)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</w:pPr>
            <w:r>
              <w:t>4.3(W/㎡)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shd w:val="clear" w:color="auto" w:fill="E6E6E6"/>
            <w:vAlign w:val="center"/>
          </w:tcPr>
          <w:p>
            <w:r>
              <w:t>卫生间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shd w:val="clear" w:color="auto" w:fill="E6E6E6"/>
            <w:vAlign w:val="center"/>
          </w:tcPr>
          <w:p>
            <w:r>
              <w:t>厨房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</w:pPr>
            <w:r>
              <w:t>24(W/㎡)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shd w:val="clear" w:color="auto" w:fill="E6E6E6"/>
            <w:vAlign w:val="center"/>
          </w:tcPr>
          <w:p>
            <w:r>
              <w:t>封闭阳台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shd w:val="clear" w:color="auto" w:fill="E6E6E6"/>
            <w:vAlign w:val="center"/>
          </w:tcPr>
          <w:p>
            <w:r>
              <w:t>楼梯间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shd w:val="clear" w:color="auto" w:fill="E6E6E6"/>
            <w:vAlign w:val="center"/>
          </w:tcPr>
          <w:p>
            <w:r>
              <w:t>次卧室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36.6(㎡/人)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2(W/㎡)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</w:pPr>
            <w:r>
              <w:t>4.3(W/㎡)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shd w:val="clear" w:color="auto" w:fill="E6E6E6"/>
            <w:vAlign w:val="center"/>
          </w:tcPr>
          <w:p>
            <w:r>
              <w:t>过厅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7" w:type="dxa"/>
            <w:shd w:val="clear" w:color="auto" w:fill="E6E6E6"/>
            <w:vAlign w:val="center"/>
          </w:tcPr>
          <w:p>
            <w:r>
              <w:t>餐厅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tcW w:w="1137" w:type="dxa"/>
            <w:vAlign w:val="center"/>
          </w:tcPr>
          <w:p>
            <w:pPr>
              <w:jc w:val="center"/>
            </w:pPr>
            <w:r>
              <w:t>10(次/h)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</w:tr>
    </w:tbl>
    <w:p>
      <w:pPr>
        <w:pStyle w:val="6"/>
        <w:tabs>
          <w:tab w:val="clear" w:pos="864"/>
        </w:tabs>
        <w:ind w:left="162" w:leftChars="71" w:hanging="13" w:hangingChars="6"/>
        <w:rPr>
          <w:lang w:val="en-US"/>
        </w:rPr>
      </w:pPr>
      <w:r>
        <w:rPr>
          <w:lang w:val="en-US"/>
        </w:rPr>
        <w:t>工作日/节假日人员逐时在室率(%)</w:t>
      </w:r>
    </w:p>
    <w:tbl>
      <w:tblPr>
        <w:tblStyle w:val="21"/>
        <w:tblW w:w="10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</w:tr>
    </w:tbl>
    <w:p>
      <w:r>
        <w:rPr>
          <w:rFonts w:hint="eastAsia"/>
        </w:rPr>
        <w:t>注：上行：工作日；下行：节假日</w:t>
      </w:r>
    </w:p>
    <w:p>
      <w:pPr>
        <w:pStyle w:val="6"/>
        <w:tabs>
          <w:tab w:val="clear" w:pos="864"/>
        </w:tabs>
        <w:ind w:left="162" w:leftChars="71" w:hanging="13" w:hangingChars="6"/>
        <w:rPr>
          <w:lang w:val="en-US"/>
        </w:rPr>
      </w:pPr>
      <w:r>
        <w:rPr>
          <w:lang w:val="en-US"/>
        </w:rPr>
        <w:t>工作日/节假日照明开关时间表(%)</w:t>
      </w:r>
    </w:p>
    <w:tbl>
      <w:tblPr>
        <w:tblStyle w:val="21"/>
        <w:tblW w:w="10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</w:tbl>
    <w:p>
      <w:r>
        <w:rPr>
          <w:rFonts w:hint="eastAsia"/>
        </w:rPr>
        <w:t>注：上行：工作日；下行：节假日</w:t>
      </w:r>
    </w:p>
    <w:p>
      <w:pPr>
        <w:pStyle w:val="6"/>
        <w:tabs>
          <w:tab w:val="clear" w:pos="864"/>
        </w:tabs>
        <w:ind w:left="162" w:leftChars="71" w:hanging="13" w:hangingChars="6"/>
        <w:rPr>
          <w:lang w:val="en-US"/>
        </w:rPr>
      </w:pPr>
      <w:bookmarkStart w:id="52" w:name="标题"/>
      <w:r>
        <w:rPr>
          <w:lang w:val="en-US"/>
        </w:rPr>
        <w:t>工作日/节假日设备逐时使用率(%)</w:t>
      </w:r>
      <w:bookmarkEnd w:id="52"/>
    </w:p>
    <w:tbl>
      <w:tblPr>
        <w:tblStyle w:val="21"/>
        <w:tblW w:w="10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</w:tbl>
    <w:p>
      <w:r>
        <w:rPr>
          <w:rFonts w:hint="eastAsia"/>
        </w:rPr>
        <w:t>注：上行：工作日；下行：节假日</w:t>
      </w:r>
    </w:p>
    <w:p>
      <w:pPr>
        <w:pStyle w:val="3"/>
        <w:ind w:firstLine="0" w:firstLineChars="0"/>
        <w:rPr>
          <w:b/>
          <w:lang w:val="en-US"/>
        </w:rPr>
      </w:pPr>
      <w:bookmarkStart w:id="53" w:name="房间类型"/>
      <w:bookmarkEnd w:id="53"/>
    </w:p>
    <w:p>
      <w:pPr>
        <w:pStyle w:val="2"/>
      </w:pPr>
      <w:bookmarkStart w:id="54" w:name="_Toc3745"/>
      <w:bookmarkStart w:id="55" w:name="_Toc452108768"/>
      <w:bookmarkStart w:id="56" w:name="_Toc155345341"/>
      <w:r>
        <w:rPr>
          <w:rFonts w:hint="eastAsia"/>
        </w:rPr>
        <w:t>结果</w:t>
      </w:r>
      <w:r>
        <w:t>分析</w:t>
      </w:r>
      <w:bookmarkEnd w:id="54"/>
      <w:bookmarkEnd w:id="55"/>
      <w:bookmarkEnd w:id="56"/>
    </w:p>
    <w:p>
      <w:pPr>
        <w:pStyle w:val="4"/>
      </w:pPr>
      <w:bookmarkStart w:id="57" w:name="_Toc155345342"/>
      <w:r>
        <w:rPr>
          <w:rFonts w:hint="eastAsia"/>
        </w:rPr>
        <w:t>室内适应性热舒适温度达标比例统计</w:t>
      </w:r>
      <w:bookmarkEnd w:id="57"/>
      <w:bookmarkStart w:id="58" w:name="_Hlk14199391"/>
    </w:p>
    <w:tbl>
      <w:tblPr>
        <w:tblStyle w:val="21"/>
        <w:tblW w:w="1030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992"/>
        <w:gridCol w:w="3187"/>
        <w:gridCol w:w="1075"/>
        <w:gridCol w:w="33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shd w:val="clear" w:color="auto" w:fill="E6E6E6"/>
            <w:vAlign w:val="center"/>
          </w:tcPr>
          <w:p>
            <w:pPr>
              <w:jc w:val="center"/>
            </w:pPr>
            <w:r>
              <w:t>层号</w:t>
            </w:r>
          </w:p>
        </w:tc>
        <w:tc>
          <w:tcPr>
            <w:tcW w:w="1992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tcW w:w="3186" w:type="dxa"/>
            <w:shd w:val="clear" w:color="auto" w:fill="E6E6E6"/>
            <w:vAlign w:val="center"/>
          </w:tcPr>
          <w:p>
            <w:pPr>
              <w:jc w:val="center"/>
            </w:pPr>
            <w:r>
              <w:t>房间名称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3356" w:type="dxa"/>
            <w:shd w:val="clear" w:color="auto" w:fill="E6E6E6"/>
            <w:vAlign w:val="center"/>
          </w:tcPr>
          <w:p>
            <w:pPr>
              <w:jc w:val="center"/>
            </w:pPr>
            <w:r>
              <w:t>满足热舒适区间的时间比例(%)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Merge w:val="restart"/>
            <w:vAlign w:val="center"/>
          </w:tcPr>
          <w:p>
            <w:r>
              <w:t>1</w:t>
            </w:r>
          </w:p>
        </w:tc>
        <w:tc>
          <w:tcPr>
            <w:tcW w:w="1992" w:type="dxa"/>
            <w:vAlign w:val="center"/>
          </w:tcPr>
          <w:p>
            <w:r>
              <w:t>1001</w:t>
            </w:r>
          </w:p>
        </w:tc>
        <w:tc>
          <w:tcPr>
            <w:tcW w:w="3186" w:type="dxa"/>
            <w:vAlign w:val="center"/>
          </w:tcPr>
          <w:p>
            <w:r>
              <w:t>过厅</w:t>
            </w:r>
          </w:p>
        </w:tc>
        <w:tc>
          <w:tcPr>
            <w:tcW w:w="1075" w:type="dxa"/>
            <w:vAlign w:val="center"/>
          </w:tcPr>
          <w:p>
            <w:r>
              <w:t>43.4</w:t>
            </w:r>
          </w:p>
        </w:tc>
        <w:tc>
          <w:tcPr>
            <w:tcW w:w="3356" w:type="dxa"/>
            <w:vAlign w:val="center"/>
          </w:tcPr>
          <w:p>
            <w:r>
              <w:t>30.56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Merge w:val="continue"/>
            <w:vAlign w:val="center"/>
          </w:tcPr>
          <w:p/>
        </w:tc>
        <w:tc>
          <w:tcPr>
            <w:tcW w:w="1992" w:type="dxa"/>
            <w:vAlign w:val="center"/>
          </w:tcPr>
          <w:p>
            <w:r>
              <w:t>1002</w:t>
            </w:r>
          </w:p>
        </w:tc>
        <w:tc>
          <w:tcPr>
            <w:tcW w:w="3186" w:type="dxa"/>
            <w:vAlign w:val="center"/>
          </w:tcPr>
          <w:p>
            <w:r>
              <w:t>厨房</w:t>
            </w:r>
          </w:p>
        </w:tc>
        <w:tc>
          <w:tcPr>
            <w:tcW w:w="1075" w:type="dxa"/>
            <w:vAlign w:val="center"/>
          </w:tcPr>
          <w:p>
            <w:r>
              <w:t>14.4</w:t>
            </w:r>
          </w:p>
        </w:tc>
        <w:tc>
          <w:tcPr>
            <w:tcW w:w="3356" w:type="dxa"/>
            <w:vAlign w:val="center"/>
          </w:tcPr>
          <w:p>
            <w:r>
              <w:t>35.43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Merge w:val="continue"/>
            <w:vAlign w:val="center"/>
          </w:tcPr>
          <w:p/>
        </w:tc>
        <w:tc>
          <w:tcPr>
            <w:tcW w:w="1992" w:type="dxa"/>
            <w:vAlign w:val="center"/>
          </w:tcPr>
          <w:p>
            <w:r>
              <w:t>1003</w:t>
            </w:r>
          </w:p>
        </w:tc>
        <w:tc>
          <w:tcPr>
            <w:tcW w:w="3186" w:type="dxa"/>
            <w:vAlign w:val="center"/>
          </w:tcPr>
          <w:p>
            <w:r>
              <w:t>主卧室</w:t>
            </w:r>
          </w:p>
        </w:tc>
        <w:tc>
          <w:tcPr>
            <w:tcW w:w="1075" w:type="dxa"/>
            <w:vAlign w:val="center"/>
          </w:tcPr>
          <w:p>
            <w:r>
              <w:t>14.4</w:t>
            </w:r>
          </w:p>
        </w:tc>
        <w:tc>
          <w:tcPr>
            <w:tcW w:w="3356" w:type="dxa"/>
            <w:vAlign w:val="center"/>
          </w:tcPr>
          <w:p>
            <w:r>
              <w:t>30.88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Merge w:val="continue"/>
            <w:vAlign w:val="center"/>
          </w:tcPr>
          <w:p/>
        </w:tc>
        <w:tc>
          <w:tcPr>
            <w:tcW w:w="1992" w:type="dxa"/>
            <w:vAlign w:val="center"/>
          </w:tcPr>
          <w:p>
            <w:r>
              <w:t>1004</w:t>
            </w:r>
          </w:p>
        </w:tc>
        <w:tc>
          <w:tcPr>
            <w:tcW w:w="3186" w:type="dxa"/>
            <w:vAlign w:val="center"/>
          </w:tcPr>
          <w:p>
            <w:r>
              <w:t>餐厅</w:t>
            </w:r>
          </w:p>
        </w:tc>
        <w:tc>
          <w:tcPr>
            <w:tcW w:w="1075" w:type="dxa"/>
            <w:vAlign w:val="center"/>
          </w:tcPr>
          <w:p>
            <w:r>
              <w:t>13.0</w:t>
            </w:r>
          </w:p>
        </w:tc>
        <w:tc>
          <w:tcPr>
            <w:tcW w:w="3356" w:type="dxa"/>
            <w:vAlign w:val="center"/>
          </w:tcPr>
          <w:p>
            <w:r>
              <w:t>32.45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Merge w:val="restart"/>
            <w:vAlign w:val="center"/>
          </w:tcPr>
          <w:p>
            <w:r>
              <w:t>2</w:t>
            </w:r>
          </w:p>
        </w:tc>
        <w:tc>
          <w:tcPr>
            <w:tcW w:w="1992" w:type="dxa"/>
            <w:vAlign w:val="center"/>
          </w:tcPr>
          <w:p>
            <w:r>
              <w:t>2001</w:t>
            </w:r>
          </w:p>
        </w:tc>
        <w:tc>
          <w:tcPr>
            <w:tcW w:w="3186" w:type="dxa"/>
            <w:vAlign w:val="center"/>
          </w:tcPr>
          <w:p>
            <w:r>
              <w:t>次卧室</w:t>
            </w:r>
          </w:p>
        </w:tc>
        <w:tc>
          <w:tcPr>
            <w:tcW w:w="1075" w:type="dxa"/>
            <w:vAlign w:val="center"/>
          </w:tcPr>
          <w:p>
            <w:r>
              <w:t>14.4</w:t>
            </w:r>
          </w:p>
        </w:tc>
        <w:tc>
          <w:tcPr>
            <w:tcW w:w="3356" w:type="dxa"/>
            <w:vAlign w:val="center"/>
          </w:tcPr>
          <w:p>
            <w:r>
              <w:t>30.81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Merge w:val="continue"/>
            <w:vAlign w:val="center"/>
          </w:tcPr>
          <w:p/>
        </w:tc>
        <w:tc>
          <w:tcPr>
            <w:tcW w:w="1992" w:type="dxa"/>
            <w:vAlign w:val="center"/>
          </w:tcPr>
          <w:p>
            <w:r>
              <w:t>2002</w:t>
            </w:r>
          </w:p>
        </w:tc>
        <w:tc>
          <w:tcPr>
            <w:tcW w:w="3186" w:type="dxa"/>
            <w:vAlign w:val="center"/>
          </w:tcPr>
          <w:p>
            <w:r>
              <w:t>封闭阳台</w:t>
            </w:r>
          </w:p>
        </w:tc>
        <w:tc>
          <w:tcPr>
            <w:tcW w:w="1075" w:type="dxa"/>
            <w:vAlign w:val="center"/>
          </w:tcPr>
          <w:p>
            <w:r>
              <w:t>14.2</w:t>
            </w:r>
          </w:p>
        </w:tc>
        <w:tc>
          <w:tcPr>
            <w:tcW w:w="3356" w:type="dxa"/>
            <w:vAlign w:val="center"/>
          </w:tcPr>
          <w:p>
            <w:r>
              <w:t>29.28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Merge w:val="continue"/>
            <w:vAlign w:val="center"/>
          </w:tcPr>
          <w:p/>
        </w:tc>
        <w:tc>
          <w:tcPr>
            <w:tcW w:w="1992" w:type="dxa"/>
            <w:vAlign w:val="center"/>
          </w:tcPr>
          <w:p>
            <w:r>
              <w:t>2003</w:t>
            </w:r>
          </w:p>
        </w:tc>
        <w:tc>
          <w:tcPr>
            <w:tcW w:w="3186" w:type="dxa"/>
            <w:vAlign w:val="center"/>
          </w:tcPr>
          <w:p>
            <w:r>
              <w:t>主卧室</w:t>
            </w:r>
          </w:p>
        </w:tc>
        <w:tc>
          <w:tcPr>
            <w:tcW w:w="1075" w:type="dxa"/>
            <w:vAlign w:val="center"/>
          </w:tcPr>
          <w:p>
            <w:r>
              <w:t>13.0</w:t>
            </w:r>
          </w:p>
        </w:tc>
        <w:tc>
          <w:tcPr>
            <w:tcW w:w="3356" w:type="dxa"/>
            <w:vAlign w:val="center"/>
          </w:tcPr>
          <w:p>
            <w:r>
              <w:t>30.90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43" w:type="dxa"/>
            <w:gridSpan w:val="4"/>
            <w:vAlign w:val="center"/>
          </w:tcPr>
          <w:p>
            <w:r>
              <w:t>建筑满足热舒适区间的时间达标比例(%)</w:t>
            </w:r>
          </w:p>
        </w:tc>
        <w:tc>
          <w:tcPr>
            <w:tcW w:w="3356" w:type="dxa"/>
            <w:vAlign w:val="center"/>
          </w:tcPr>
          <w:p>
            <w:r>
              <w:t>31.26%</w:t>
            </w:r>
          </w:p>
        </w:tc>
      </w:tr>
      <w:bookmarkEnd w:id="58"/>
    </w:tbl>
    <w:p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bookmarkStart w:id="59" w:name="达标比例统计表"/>
      <w:bookmarkEnd w:id="59"/>
    </w:p>
    <w:p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说明：建筑整体的室内热舒适区间</w:t>
      </w:r>
      <w:r>
        <w:rPr>
          <w:rFonts w:ascii="微软雅黑" w:hAnsi="微软雅黑" w:eastAsia="微软雅黑"/>
          <w:sz w:val="18"/>
          <w:szCs w:val="18"/>
        </w:rPr>
        <w:t>的时间</w:t>
      </w:r>
      <w:r>
        <w:rPr>
          <w:rFonts w:hint="eastAsia" w:ascii="微软雅黑" w:hAnsi="微软雅黑" w:eastAsia="微软雅黑"/>
          <w:sz w:val="18"/>
          <w:szCs w:val="18"/>
        </w:rPr>
        <w:t>达标比例按照建筑各主要功能房间的计算值进行面积加权平均得出。</w:t>
      </w:r>
    </w:p>
    <w:p>
      <w:pPr>
        <w:pStyle w:val="2"/>
      </w:pPr>
      <w:bookmarkStart w:id="60" w:name="_Toc155345343"/>
      <w:r>
        <w:rPr>
          <w:rFonts w:hint="eastAsia"/>
        </w:rPr>
        <w:t>结论</w:t>
      </w:r>
      <w:bookmarkEnd w:id="60"/>
    </w:p>
    <w:p>
      <w:pPr>
        <w:adjustRightInd w:val="0"/>
        <w:spacing w:line="360" w:lineRule="auto"/>
        <w:ind w:firstLine="420" w:firstLineChars="200"/>
        <w:rPr>
          <w:lang w:val="en-US"/>
        </w:rPr>
      </w:pPr>
      <w:r>
        <w:rPr>
          <w:rFonts w:hint="eastAsia"/>
          <w:lang w:val="en-US"/>
        </w:rPr>
        <w:t>该建筑主要功能房间满足热舒适区间的时间达标比例为</w:t>
      </w:r>
      <w:bookmarkStart w:id="61" w:name="达标百分比"/>
      <w:r>
        <w:rPr>
          <w:rFonts w:hint="eastAsia"/>
          <w:lang w:val="en-US"/>
        </w:rPr>
        <w:t>31.26%</w:t>
      </w:r>
      <w:bookmarkEnd w:id="61"/>
      <w:r>
        <w:rPr>
          <w:rFonts w:hint="eastAsia"/>
          <w:lang w:val="en-US"/>
        </w:rPr>
        <w:t>，根据绿标5.2.9的第1条，应得</w:t>
      </w:r>
      <w:bookmarkStart w:id="62" w:name="得分"/>
      <w:r>
        <w:rPr>
          <w:rFonts w:hint="eastAsia"/>
          <w:lang w:val="en-US"/>
        </w:rPr>
        <w:t>2</w:t>
      </w:r>
      <w:bookmarkEnd w:id="62"/>
      <w:r>
        <w:rPr>
          <w:rFonts w:hint="eastAsia"/>
          <w:lang w:val="en-US"/>
        </w:rPr>
        <w:t>分。</w:t>
      </w:r>
    </w:p>
    <w:p>
      <w:pPr>
        <w:spacing w:line="240" w:lineRule="auto"/>
        <w:rPr>
          <w:szCs w:val="21"/>
          <w:lang w:val="en-US"/>
        </w:rPr>
      </w:pPr>
      <w:r>
        <w:rPr>
          <w:lang w:val="en-US"/>
        </w:rPr>
        <w:br w:type="page"/>
      </w:r>
    </w:p>
    <w:p>
      <w:pPr>
        <w:pStyle w:val="3"/>
        <w:ind w:firstLine="199" w:firstLineChars="95"/>
        <w:rPr>
          <w:lang w:val="en-US"/>
        </w:rPr>
      </w:pPr>
      <w:bookmarkStart w:id="63" w:name="房间逐时温度图"/>
      <w:bookmarkEnd w:id="63"/>
    </w:p>
    <w:sectPr>
      <w:pgSz w:w="11906" w:h="16838"/>
      <w:pgMar w:top="1440" w:right="849" w:bottom="993" w:left="1134" w:header="794" w:footer="170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aunPenh">
    <w:altName w:val="AMGD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22"/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020"/>
      <w:gridCol w:w="3020"/>
      <w:gridCol w:w="3020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3020" w:type="dxa"/>
        </w:tcPr>
        <w:p>
          <w:pPr>
            <w:pStyle w:val="17"/>
            <w:rPr>
              <w:rFonts w:asciiTheme="minorEastAsia" w:hAnsiTheme="minorEastAsia" w:eastAsiaTheme="minorEastAsia"/>
              <w:sz w:val="20"/>
              <w:szCs w:val="21"/>
            </w:rPr>
          </w:pPr>
          <w:r>
            <w:fldChar w:fldCharType="begin"/>
          </w:r>
          <w:r>
            <w:instrText xml:space="preserve"> HYPERLINK "http://www.gbsware.cn/" </w:instrText>
          </w:r>
          <w:r>
            <w:fldChar w:fldCharType="separate"/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t>http://www.gbsware.cn/</w:t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fldChar w:fldCharType="end"/>
          </w:r>
        </w:p>
      </w:tc>
      <w:tc>
        <w:tcPr>
          <w:tcW w:w="3020" w:type="dxa"/>
        </w:tcPr>
        <w:p>
          <w:pPr>
            <w:pStyle w:val="17"/>
            <w:jc w:val="center"/>
            <w:rPr>
              <w:rFonts w:asciiTheme="minorEastAsia" w:hAnsiTheme="minorEastAsia" w:eastAsia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AutoText"/>
              </w:docPartObj>
            </w:sdtPr>
            <w:sdtEndPr>
              <w:rPr>
                <w:rFonts w:asciiTheme="minorEastAsia" w:hAnsiTheme="minorEastAsia" w:eastAsiaTheme="minorEastAsia"/>
                <w:sz w:val="20"/>
                <w:szCs w:val="21"/>
              </w:rPr>
            </w:sdtEndPr>
            <w:sdtContent>
              <w:r>
                <w:rPr>
                  <w:rFonts w:hint="eastAsia"/>
                  <w:sz w:val="20"/>
                </w:rPr>
                <w:t>第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PAGE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3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sz w:val="20"/>
                  <w:szCs w:val="21"/>
                  <w:lang w:val="zh-CN"/>
                </w:rPr>
                <w:t>页 共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NUMPAGES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9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>
          <w:pPr>
            <w:pStyle w:val="17"/>
            <w:jc w:val="right"/>
            <w:rPr>
              <w:rFonts w:asciiTheme="minorEastAsia" w:hAnsiTheme="minorEastAsia" w:eastAsiaTheme="minorEastAsia"/>
              <w:sz w:val="20"/>
              <w:szCs w:val="21"/>
            </w:rPr>
          </w:pPr>
          <w:r>
            <w:rPr>
              <w:rFonts w:asciiTheme="minorEastAsia" w:hAnsiTheme="minorEastAsia" w:eastAsiaTheme="minorEastAsia"/>
              <w:sz w:val="20"/>
              <w:szCs w:val="21"/>
            </w:rPr>
            <w:t>ITES20</w:t>
          </w:r>
          <w:r>
            <w:rPr>
              <w:rFonts w:hint="eastAsia" w:asciiTheme="minorEastAsia" w:hAnsiTheme="minorEastAsia" w:eastAsiaTheme="minorEastAsia"/>
              <w:sz w:val="20"/>
              <w:szCs w:val="21"/>
            </w:rPr>
            <w:t>2</w:t>
          </w:r>
          <w:r>
            <w:rPr>
              <w:rFonts w:asciiTheme="minorEastAsia" w:hAnsiTheme="minorEastAsia" w:eastAsiaTheme="minorEastAsia"/>
              <w:sz w:val="20"/>
              <w:szCs w:val="21"/>
            </w:rPr>
            <w:t>2</w:t>
          </w:r>
        </w:p>
      </w:tc>
    </w:tr>
  </w:tbl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  <w:rPr>
        <w:rFonts w:asciiTheme="minorEastAsia" w:hAnsiTheme="minorEastAsia" w:eastAsiaTheme="minorEastAsia"/>
        <w:szCs w:val="21"/>
      </w:rPr>
    </w:pPr>
  </w:p>
  <w:p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single" w:color="auto" w:sz="6" w:space="0"/>
      </w:pBdr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室内温度达标比例报告书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E3257E5"/>
    <w:multiLevelType w:val="multilevel"/>
    <w:tmpl w:val="0E3257E5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73E4C29"/>
    <w:multiLevelType w:val="multilevel"/>
    <w:tmpl w:val="173E4C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97734B"/>
    <w:multiLevelType w:val="multilevel"/>
    <w:tmpl w:val="6397734B"/>
    <w:lvl w:ilvl="0" w:tentative="0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05" w:hanging="360"/>
      </w:pPr>
    </w:lvl>
    <w:lvl w:ilvl="2" w:tentative="0">
      <w:start w:val="1"/>
      <w:numFmt w:val="lowerRoman"/>
      <w:lvlText w:val="%3."/>
      <w:lvlJc w:val="right"/>
      <w:pPr>
        <w:ind w:left="2225" w:hanging="180"/>
      </w:pPr>
    </w:lvl>
    <w:lvl w:ilvl="3" w:tentative="0">
      <w:start w:val="1"/>
      <w:numFmt w:val="decimal"/>
      <w:lvlText w:val="%4."/>
      <w:lvlJc w:val="left"/>
      <w:pPr>
        <w:ind w:left="2945" w:hanging="360"/>
      </w:pPr>
    </w:lvl>
    <w:lvl w:ilvl="4" w:tentative="0">
      <w:start w:val="1"/>
      <w:numFmt w:val="lowerLetter"/>
      <w:lvlText w:val="%5."/>
      <w:lvlJc w:val="left"/>
      <w:pPr>
        <w:ind w:left="3665" w:hanging="360"/>
      </w:pPr>
    </w:lvl>
    <w:lvl w:ilvl="5" w:tentative="0">
      <w:start w:val="1"/>
      <w:numFmt w:val="lowerRoman"/>
      <w:lvlText w:val="%6."/>
      <w:lvlJc w:val="right"/>
      <w:pPr>
        <w:ind w:left="4385" w:hanging="180"/>
      </w:pPr>
    </w:lvl>
    <w:lvl w:ilvl="6" w:tentative="0">
      <w:start w:val="1"/>
      <w:numFmt w:val="decimal"/>
      <w:lvlText w:val="%7."/>
      <w:lvlJc w:val="left"/>
      <w:pPr>
        <w:ind w:left="5105" w:hanging="360"/>
      </w:pPr>
    </w:lvl>
    <w:lvl w:ilvl="7" w:tentative="0">
      <w:start w:val="1"/>
      <w:numFmt w:val="lowerLetter"/>
      <w:lvlText w:val="%8."/>
      <w:lvlJc w:val="left"/>
      <w:pPr>
        <w:ind w:left="5825" w:hanging="360"/>
      </w:pPr>
    </w:lvl>
    <w:lvl w:ilvl="8" w:tentative="0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FF5332"/>
    <w:rsid w:val="00000112"/>
    <w:rsid w:val="00005045"/>
    <w:rsid w:val="0000578F"/>
    <w:rsid w:val="0002001E"/>
    <w:rsid w:val="000219DF"/>
    <w:rsid w:val="00023C6B"/>
    <w:rsid w:val="00024B65"/>
    <w:rsid w:val="00026604"/>
    <w:rsid w:val="000316CA"/>
    <w:rsid w:val="00035ECB"/>
    <w:rsid w:val="00037A4C"/>
    <w:rsid w:val="00040881"/>
    <w:rsid w:val="00053EAF"/>
    <w:rsid w:val="00056D42"/>
    <w:rsid w:val="000678A8"/>
    <w:rsid w:val="00067FD6"/>
    <w:rsid w:val="00070047"/>
    <w:rsid w:val="000719B1"/>
    <w:rsid w:val="000724DF"/>
    <w:rsid w:val="00073958"/>
    <w:rsid w:val="00081A16"/>
    <w:rsid w:val="00095336"/>
    <w:rsid w:val="000B1793"/>
    <w:rsid w:val="000B23B3"/>
    <w:rsid w:val="000B2C63"/>
    <w:rsid w:val="000B41B5"/>
    <w:rsid w:val="000C1855"/>
    <w:rsid w:val="000C291D"/>
    <w:rsid w:val="000C3B77"/>
    <w:rsid w:val="000D16B8"/>
    <w:rsid w:val="000D7A8A"/>
    <w:rsid w:val="000F0A2F"/>
    <w:rsid w:val="000F14F7"/>
    <w:rsid w:val="000F2D92"/>
    <w:rsid w:val="000F53CF"/>
    <w:rsid w:val="000F57D4"/>
    <w:rsid w:val="000F63BF"/>
    <w:rsid w:val="000F7EF2"/>
    <w:rsid w:val="0010102D"/>
    <w:rsid w:val="00101EBF"/>
    <w:rsid w:val="00106871"/>
    <w:rsid w:val="001105DA"/>
    <w:rsid w:val="0011086A"/>
    <w:rsid w:val="00111EDF"/>
    <w:rsid w:val="00112118"/>
    <w:rsid w:val="00112DC5"/>
    <w:rsid w:val="00120AB8"/>
    <w:rsid w:val="00122AE1"/>
    <w:rsid w:val="00122DD1"/>
    <w:rsid w:val="00124784"/>
    <w:rsid w:val="00124E90"/>
    <w:rsid w:val="00134709"/>
    <w:rsid w:val="00140C96"/>
    <w:rsid w:val="001428A7"/>
    <w:rsid w:val="0014306B"/>
    <w:rsid w:val="0014310C"/>
    <w:rsid w:val="0014776A"/>
    <w:rsid w:val="00147DF5"/>
    <w:rsid w:val="001511A3"/>
    <w:rsid w:val="0015193F"/>
    <w:rsid w:val="00153AEE"/>
    <w:rsid w:val="001570B9"/>
    <w:rsid w:val="0016330F"/>
    <w:rsid w:val="00165314"/>
    <w:rsid w:val="001737F9"/>
    <w:rsid w:val="00175905"/>
    <w:rsid w:val="001773DA"/>
    <w:rsid w:val="00180E79"/>
    <w:rsid w:val="00184656"/>
    <w:rsid w:val="00186918"/>
    <w:rsid w:val="00190218"/>
    <w:rsid w:val="0019552D"/>
    <w:rsid w:val="001A12A0"/>
    <w:rsid w:val="001A5B4B"/>
    <w:rsid w:val="001A7C37"/>
    <w:rsid w:val="001B0BA1"/>
    <w:rsid w:val="001B4565"/>
    <w:rsid w:val="001B74BE"/>
    <w:rsid w:val="001B7C87"/>
    <w:rsid w:val="001C1C39"/>
    <w:rsid w:val="001D3071"/>
    <w:rsid w:val="001D3BB9"/>
    <w:rsid w:val="001E133A"/>
    <w:rsid w:val="001F5EAC"/>
    <w:rsid w:val="00201812"/>
    <w:rsid w:val="00202864"/>
    <w:rsid w:val="00203163"/>
    <w:rsid w:val="00203A7D"/>
    <w:rsid w:val="00215EBC"/>
    <w:rsid w:val="00217F09"/>
    <w:rsid w:val="0022597C"/>
    <w:rsid w:val="002431AE"/>
    <w:rsid w:val="002454F4"/>
    <w:rsid w:val="00250B66"/>
    <w:rsid w:val="002555B8"/>
    <w:rsid w:val="002611A7"/>
    <w:rsid w:val="00262FA9"/>
    <w:rsid w:val="00266FC5"/>
    <w:rsid w:val="00276796"/>
    <w:rsid w:val="00284FB2"/>
    <w:rsid w:val="0029328A"/>
    <w:rsid w:val="002957A6"/>
    <w:rsid w:val="00295C3C"/>
    <w:rsid w:val="00295D20"/>
    <w:rsid w:val="002967E5"/>
    <w:rsid w:val="002969CA"/>
    <w:rsid w:val="002A1AF2"/>
    <w:rsid w:val="002A60F5"/>
    <w:rsid w:val="002A6512"/>
    <w:rsid w:val="002B090C"/>
    <w:rsid w:val="002B2E78"/>
    <w:rsid w:val="002B7314"/>
    <w:rsid w:val="002C153B"/>
    <w:rsid w:val="002C23B5"/>
    <w:rsid w:val="002D33C1"/>
    <w:rsid w:val="002D4CAC"/>
    <w:rsid w:val="002E702B"/>
    <w:rsid w:val="002F2A25"/>
    <w:rsid w:val="002F3AD5"/>
    <w:rsid w:val="0030437C"/>
    <w:rsid w:val="00304FC5"/>
    <w:rsid w:val="0031135A"/>
    <w:rsid w:val="003121F7"/>
    <w:rsid w:val="0031365D"/>
    <w:rsid w:val="00314C40"/>
    <w:rsid w:val="00314D29"/>
    <w:rsid w:val="00315CFC"/>
    <w:rsid w:val="00316B5F"/>
    <w:rsid w:val="00316BF5"/>
    <w:rsid w:val="00317DFA"/>
    <w:rsid w:val="00317F3B"/>
    <w:rsid w:val="00321894"/>
    <w:rsid w:val="00321CDB"/>
    <w:rsid w:val="0032293E"/>
    <w:rsid w:val="003368D4"/>
    <w:rsid w:val="00337C74"/>
    <w:rsid w:val="00340177"/>
    <w:rsid w:val="0034506B"/>
    <w:rsid w:val="00351C09"/>
    <w:rsid w:val="00360EF7"/>
    <w:rsid w:val="003630EE"/>
    <w:rsid w:val="0037000B"/>
    <w:rsid w:val="00370657"/>
    <w:rsid w:val="003747B9"/>
    <w:rsid w:val="00376D98"/>
    <w:rsid w:val="00377068"/>
    <w:rsid w:val="00382764"/>
    <w:rsid w:val="003857DF"/>
    <w:rsid w:val="003A50E3"/>
    <w:rsid w:val="003A6A7F"/>
    <w:rsid w:val="003B2E2C"/>
    <w:rsid w:val="003B7699"/>
    <w:rsid w:val="003C04E5"/>
    <w:rsid w:val="003C51B9"/>
    <w:rsid w:val="003C5F3A"/>
    <w:rsid w:val="003C613F"/>
    <w:rsid w:val="003D123E"/>
    <w:rsid w:val="003D3E8E"/>
    <w:rsid w:val="003D52D0"/>
    <w:rsid w:val="003D6DC3"/>
    <w:rsid w:val="003D71B6"/>
    <w:rsid w:val="003E0E32"/>
    <w:rsid w:val="003F4451"/>
    <w:rsid w:val="003F4D52"/>
    <w:rsid w:val="003F76E8"/>
    <w:rsid w:val="004013F3"/>
    <w:rsid w:val="00407998"/>
    <w:rsid w:val="00412598"/>
    <w:rsid w:val="00412ACB"/>
    <w:rsid w:val="00413DB8"/>
    <w:rsid w:val="004169B3"/>
    <w:rsid w:val="00421EC2"/>
    <w:rsid w:val="00423970"/>
    <w:rsid w:val="00430359"/>
    <w:rsid w:val="00435221"/>
    <w:rsid w:val="00437A5C"/>
    <w:rsid w:val="004423FE"/>
    <w:rsid w:val="00444A8B"/>
    <w:rsid w:val="00446531"/>
    <w:rsid w:val="00446B0E"/>
    <w:rsid w:val="00447984"/>
    <w:rsid w:val="00453246"/>
    <w:rsid w:val="004556B5"/>
    <w:rsid w:val="00455947"/>
    <w:rsid w:val="0046589C"/>
    <w:rsid w:val="0047200C"/>
    <w:rsid w:val="00481AD0"/>
    <w:rsid w:val="00481D85"/>
    <w:rsid w:val="00483193"/>
    <w:rsid w:val="00485EF8"/>
    <w:rsid w:val="00487EF1"/>
    <w:rsid w:val="00494642"/>
    <w:rsid w:val="00494ADE"/>
    <w:rsid w:val="0049520E"/>
    <w:rsid w:val="004A0D3B"/>
    <w:rsid w:val="004B158B"/>
    <w:rsid w:val="004C23D3"/>
    <w:rsid w:val="004C2BE1"/>
    <w:rsid w:val="004C4B97"/>
    <w:rsid w:val="004C7D33"/>
    <w:rsid w:val="004D230F"/>
    <w:rsid w:val="004D449D"/>
    <w:rsid w:val="004D5CB8"/>
    <w:rsid w:val="004E2AEB"/>
    <w:rsid w:val="004E6F8D"/>
    <w:rsid w:val="004F0639"/>
    <w:rsid w:val="004F2FA4"/>
    <w:rsid w:val="00500A38"/>
    <w:rsid w:val="00502DBB"/>
    <w:rsid w:val="0050569B"/>
    <w:rsid w:val="00511D13"/>
    <w:rsid w:val="00512B1A"/>
    <w:rsid w:val="005215FB"/>
    <w:rsid w:val="00523FF5"/>
    <w:rsid w:val="00532D04"/>
    <w:rsid w:val="00537E4B"/>
    <w:rsid w:val="00540765"/>
    <w:rsid w:val="00544431"/>
    <w:rsid w:val="005451BA"/>
    <w:rsid w:val="00547D69"/>
    <w:rsid w:val="00561AF2"/>
    <w:rsid w:val="00562403"/>
    <w:rsid w:val="00565780"/>
    <w:rsid w:val="005725E0"/>
    <w:rsid w:val="005755BA"/>
    <w:rsid w:val="0058501E"/>
    <w:rsid w:val="005910E8"/>
    <w:rsid w:val="00594562"/>
    <w:rsid w:val="0059560C"/>
    <w:rsid w:val="005A1031"/>
    <w:rsid w:val="005A1B63"/>
    <w:rsid w:val="005A21DB"/>
    <w:rsid w:val="005A2988"/>
    <w:rsid w:val="005A317A"/>
    <w:rsid w:val="005A3A23"/>
    <w:rsid w:val="005A7F1B"/>
    <w:rsid w:val="005B277A"/>
    <w:rsid w:val="005B7445"/>
    <w:rsid w:val="005C069E"/>
    <w:rsid w:val="005C1501"/>
    <w:rsid w:val="005C34EF"/>
    <w:rsid w:val="005C6629"/>
    <w:rsid w:val="005D0870"/>
    <w:rsid w:val="005D0A02"/>
    <w:rsid w:val="005D3BE7"/>
    <w:rsid w:val="005D3C00"/>
    <w:rsid w:val="005D710F"/>
    <w:rsid w:val="005E0BFD"/>
    <w:rsid w:val="005E2482"/>
    <w:rsid w:val="005F4F73"/>
    <w:rsid w:val="006006D2"/>
    <w:rsid w:val="006043F1"/>
    <w:rsid w:val="006100FB"/>
    <w:rsid w:val="006105F7"/>
    <w:rsid w:val="00612E00"/>
    <w:rsid w:val="006156D5"/>
    <w:rsid w:val="0062338D"/>
    <w:rsid w:val="006254D5"/>
    <w:rsid w:val="00634E08"/>
    <w:rsid w:val="0064005D"/>
    <w:rsid w:val="00642309"/>
    <w:rsid w:val="00644DC9"/>
    <w:rsid w:val="00653B24"/>
    <w:rsid w:val="006547AB"/>
    <w:rsid w:val="00654C63"/>
    <w:rsid w:val="006559AA"/>
    <w:rsid w:val="00656119"/>
    <w:rsid w:val="00661139"/>
    <w:rsid w:val="00661405"/>
    <w:rsid w:val="00662EF0"/>
    <w:rsid w:val="00663FCD"/>
    <w:rsid w:val="006645DE"/>
    <w:rsid w:val="00670E9B"/>
    <w:rsid w:val="00672C75"/>
    <w:rsid w:val="0067336D"/>
    <w:rsid w:val="00674121"/>
    <w:rsid w:val="00684181"/>
    <w:rsid w:val="00691DD2"/>
    <w:rsid w:val="00694FCA"/>
    <w:rsid w:val="0069542D"/>
    <w:rsid w:val="0069629F"/>
    <w:rsid w:val="006A07C2"/>
    <w:rsid w:val="006A21CC"/>
    <w:rsid w:val="006A226F"/>
    <w:rsid w:val="006A4471"/>
    <w:rsid w:val="006B0815"/>
    <w:rsid w:val="006B0CC7"/>
    <w:rsid w:val="006B6C00"/>
    <w:rsid w:val="006C23E2"/>
    <w:rsid w:val="006C2D59"/>
    <w:rsid w:val="006C2DCC"/>
    <w:rsid w:val="006C4E43"/>
    <w:rsid w:val="006D02D6"/>
    <w:rsid w:val="006D0E3A"/>
    <w:rsid w:val="006D191D"/>
    <w:rsid w:val="006D296D"/>
    <w:rsid w:val="006D3413"/>
    <w:rsid w:val="006D45E8"/>
    <w:rsid w:val="006D5734"/>
    <w:rsid w:val="006E2867"/>
    <w:rsid w:val="006F0AC9"/>
    <w:rsid w:val="006F195A"/>
    <w:rsid w:val="006F228E"/>
    <w:rsid w:val="006F289F"/>
    <w:rsid w:val="006F3036"/>
    <w:rsid w:val="006F3991"/>
    <w:rsid w:val="006F6252"/>
    <w:rsid w:val="007064C5"/>
    <w:rsid w:val="0071348B"/>
    <w:rsid w:val="00713CF3"/>
    <w:rsid w:val="0072222E"/>
    <w:rsid w:val="00741470"/>
    <w:rsid w:val="007432E7"/>
    <w:rsid w:val="007446D1"/>
    <w:rsid w:val="0074750E"/>
    <w:rsid w:val="00751D7B"/>
    <w:rsid w:val="00752AA9"/>
    <w:rsid w:val="00754FB6"/>
    <w:rsid w:val="00757189"/>
    <w:rsid w:val="00760F0D"/>
    <w:rsid w:val="00762314"/>
    <w:rsid w:val="007628A1"/>
    <w:rsid w:val="00767E71"/>
    <w:rsid w:val="00782889"/>
    <w:rsid w:val="00790965"/>
    <w:rsid w:val="007928B6"/>
    <w:rsid w:val="007A20AF"/>
    <w:rsid w:val="007A5318"/>
    <w:rsid w:val="007B2D7C"/>
    <w:rsid w:val="007B3311"/>
    <w:rsid w:val="007B573F"/>
    <w:rsid w:val="007B61C5"/>
    <w:rsid w:val="007B7597"/>
    <w:rsid w:val="007C15B9"/>
    <w:rsid w:val="007C4F93"/>
    <w:rsid w:val="007C6B7C"/>
    <w:rsid w:val="007C7FC3"/>
    <w:rsid w:val="007D02FB"/>
    <w:rsid w:val="007D210D"/>
    <w:rsid w:val="007D386E"/>
    <w:rsid w:val="007D4C36"/>
    <w:rsid w:val="007D6D5B"/>
    <w:rsid w:val="007E551D"/>
    <w:rsid w:val="007E5D0D"/>
    <w:rsid w:val="007E6E69"/>
    <w:rsid w:val="007F2947"/>
    <w:rsid w:val="0081434D"/>
    <w:rsid w:val="00815874"/>
    <w:rsid w:val="008160AB"/>
    <w:rsid w:val="00820783"/>
    <w:rsid w:val="00821D1E"/>
    <w:rsid w:val="00823CD7"/>
    <w:rsid w:val="00823E9B"/>
    <w:rsid w:val="00833AFE"/>
    <w:rsid w:val="00834E88"/>
    <w:rsid w:val="0083614F"/>
    <w:rsid w:val="00843452"/>
    <w:rsid w:val="00851CA4"/>
    <w:rsid w:val="008538C5"/>
    <w:rsid w:val="00856B3E"/>
    <w:rsid w:val="008659A5"/>
    <w:rsid w:val="00865A08"/>
    <w:rsid w:val="00865D20"/>
    <w:rsid w:val="0086632A"/>
    <w:rsid w:val="0087011E"/>
    <w:rsid w:val="00875F0B"/>
    <w:rsid w:val="00876531"/>
    <w:rsid w:val="00880A06"/>
    <w:rsid w:val="00883D6C"/>
    <w:rsid w:val="00886207"/>
    <w:rsid w:val="008870D0"/>
    <w:rsid w:val="008967FE"/>
    <w:rsid w:val="008972EC"/>
    <w:rsid w:val="00897C8F"/>
    <w:rsid w:val="008A48E6"/>
    <w:rsid w:val="008B115C"/>
    <w:rsid w:val="008B3F3D"/>
    <w:rsid w:val="008B49CE"/>
    <w:rsid w:val="008B588D"/>
    <w:rsid w:val="008C231A"/>
    <w:rsid w:val="008D7355"/>
    <w:rsid w:val="008E1C52"/>
    <w:rsid w:val="008E2A42"/>
    <w:rsid w:val="008E5E54"/>
    <w:rsid w:val="008F52E4"/>
    <w:rsid w:val="00902A4F"/>
    <w:rsid w:val="009143D1"/>
    <w:rsid w:val="00920203"/>
    <w:rsid w:val="0092087D"/>
    <w:rsid w:val="00920FEB"/>
    <w:rsid w:val="00940C22"/>
    <w:rsid w:val="009458A1"/>
    <w:rsid w:val="009471C2"/>
    <w:rsid w:val="00966AA0"/>
    <w:rsid w:val="009671F5"/>
    <w:rsid w:val="00972F40"/>
    <w:rsid w:val="00974ECB"/>
    <w:rsid w:val="009812A9"/>
    <w:rsid w:val="009904E5"/>
    <w:rsid w:val="00996A40"/>
    <w:rsid w:val="0099773C"/>
    <w:rsid w:val="009A2274"/>
    <w:rsid w:val="009A4F1F"/>
    <w:rsid w:val="009B0631"/>
    <w:rsid w:val="009B145A"/>
    <w:rsid w:val="009C1CEB"/>
    <w:rsid w:val="009C5A55"/>
    <w:rsid w:val="009C72E6"/>
    <w:rsid w:val="009D2FEA"/>
    <w:rsid w:val="009E2DE9"/>
    <w:rsid w:val="009E3A82"/>
    <w:rsid w:val="009F2CAC"/>
    <w:rsid w:val="00A108E1"/>
    <w:rsid w:val="00A11D6B"/>
    <w:rsid w:val="00A1287C"/>
    <w:rsid w:val="00A23D26"/>
    <w:rsid w:val="00A26A56"/>
    <w:rsid w:val="00A273C5"/>
    <w:rsid w:val="00A306C2"/>
    <w:rsid w:val="00A32590"/>
    <w:rsid w:val="00A327ED"/>
    <w:rsid w:val="00A352C9"/>
    <w:rsid w:val="00A355BD"/>
    <w:rsid w:val="00A412D8"/>
    <w:rsid w:val="00A41C1F"/>
    <w:rsid w:val="00A4318E"/>
    <w:rsid w:val="00A521CB"/>
    <w:rsid w:val="00A566CB"/>
    <w:rsid w:val="00A61D80"/>
    <w:rsid w:val="00A67355"/>
    <w:rsid w:val="00A6747D"/>
    <w:rsid w:val="00A7462A"/>
    <w:rsid w:val="00A8181B"/>
    <w:rsid w:val="00A8393F"/>
    <w:rsid w:val="00A949F6"/>
    <w:rsid w:val="00A968A5"/>
    <w:rsid w:val="00AA26C7"/>
    <w:rsid w:val="00AA47FE"/>
    <w:rsid w:val="00AA50DB"/>
    <w:rsid w:val="00AA5DED"/>
    <w:rsid w:val="00AB00F6"/>
    <w:rsid w:val="00AB3E6E"/>
    <w:rsid w:val="00AC0859"/>
    <w:rsid w:val="00AC70A0"/>
    <w:rsid w:val="00AC79A1"/>
    <w:rsid w:val="00AC7C9E"/>
    <w:rsid w:val="00AC7EEF"/>
    <w:rsid w:val="00AD1722"/>
    <w:rsid w:val="00AD239C"/>
    <w:rsid w:val="00AE0FC4"/>
    <w:rsid w:val="00AE5F8F"/>
    <w:rsid w:val="00AF2720"/>
    <w:rsid w:val="00AF37CE"/>
    <w:rsid w:val="00B11FE8"/>
    <w:rsid w:val="00B121A8"/>
    <w:rsid w:val="00B13824"/>
    <w:rsid w:val="00B14131"/>
    <w:rsid w:val="00B16902"/>
    <w:rsid w:val="00B20DC9"/>
    <w:rsid w:val="00B25777"/>
    <w:rsid w:val="00B26734"/>
    <w:rsid w:val="00B26F7B"/>
    <w:rsid w:val="00B27308"/>
    <w:rsid w:val="00B32B1D"/>
    <w:rsid w:val="00B34EC6"/>
    <w:rsid w:val="00B41640"/>
    <w:rsid w:val="00B44806"/>
    <w:rsid w:val="00B50E2E"/>
    <w:rsid w:val="00B51A2D"/>
    <w:rsid w:val="00B55B22"/>
    <w:rsid w:val="00B56ECD"/>
    <w:rsid w:val="00B5736D"/>
    <w:rsid w:val="00B60841"/>
    <w:rsid w:val="00B665C1"/>
    <w:rsid w:val="00B67401"/>
    <w:rsid w:val="00B67D57"/>
    <w:rsid w:val="00B71B30"/>
    <w:rsid w:val="00B73C41"/>
    <w:rsid w:val="00B7457E"/>
    <w:rsid w:val="00B754F3"/>
    <w:rsid w:val="00B84426"/>
    <w:rsid w:val="00B94023"/>
    <w:rsid w:val="00BA2C3C"/>
    <w:rsid w:val="00BB5BCC"/>
    <w:rsid w:val="00BB72F1"/>
    <w:rsid w:val="00BD0C1B"/>
    <w:rsid w:val="00BE0E75"/>
    <w:rsid w:val="00BE4681"/>
    <w:rsid w:val="00BE5627"/>
    <w:rsid w:val="00BE75B4"/>
    <w:rsid w:val="00BE7E24"/>
    <w:rsid w:val="00BF173E"/>
    <w:rsid w:val="00BF7629"/>
    <w:rsid w:val="00C03066"/>
    <w:rsid w:val="00C1224A"/>
    <w:rsid w:val="00C15B1A"/>
    <w:rsid w:val="00C17DF3"/>
    <w:rsid w:val="00C3112C"/>
    <w:rsid w:val="00C37EFB"/>
    <w:rsid w:val="00C50BDB"/>
    <w:rsid w:val="00C57197"/>
    <w:rsid w:val="00C63237"/>
    <w:rsid w:val="00C67778"/>
    <w:rsid w:val="00C72E58"/>
    <w:rsid w:val="00C86FAA"/>
    <w:rsid w:val="00C87AC6"/>
    <w:rsid w:val="00C92C56"/>
    <w:rsid w:val="00C976BE"/>
    <w:rsid w:val="00C97E25"/>
    <w:rsid w:val="00C97F88"/>
    <w:rsid w:val="00CA1378"/>
    <w:rsid w:val="00CA64F3"/>
    <w:rsid w:val="00CB0266"/>
    <w:rsid w:val="00CB0F5E"/>
    <w:rsid w:val="00CB2732"/>
    <w:rsid w:val="00CB6F48"/>
    <w:rsid w:val="00CC0C65"/>
    <w:rsid w:val="00CE1A11"/>
    <w:rsid w:val="00CE28AA"/>
    <w:rsid w:val="00CE6B55"/>
    <w:rsid w:val="00CF109A"/>
    <w:rsid w:val="00CF421E"/>
    <w:rsid w:val="00CF6330"/>
    <w:rsid w:val="00CF6FDD"/>
    <w:rsid w:val="00D04358"/>
    <w:rsid w:val="00D13ABE"/>
    <w:rsid w:val="00D23B17"/>
    <w:rsid w:val="00D24F54"/>
    <w:rsid w:val="00D261EA"/>
    <w:rsid w:val="00D32543"/>
    <w:rsid w:val="00D40158"/>
    <w:rsid w:val="00D406D2"/>
    <w:rsid w:val="00D43C46"/>
    <w:rsid w:val="00D45C26"/>
    <w:rsid w:val="00D471DD"/>
    <w:rsid w:val="00D5111E"/>
    <w:rsid w:val="00D51770"/>
    <w:rsid w:val="00D56084"/>
    <w:rsid w:val="00D57354"/>
    <w:rsid w:val="00D60896"/>
    <w:rsid w:val="00D62A9A"/>
    <w:rsid w:val="00D650B1"/>
    <w:rsid w:val="00D65980"/>
    <w:rsid w:val="00D67BD6"/>
    <w:rsid w:val="00D74068"/>
    <w:rsid w:val="00D86998"/>
    <w:rsid w:val="00D91BD3"/>
    <w:rsid w:val="00D9645E"/>
    <w:rsid w:val="00D968F5"/>
    <w:rsid w:val="00DA0532"/>
    <w:rsid w:val="00DA4173"/>
    <w:rsid w:val="00DA60B3"/>
    <w:rsid w:val="00DA66B2"/>
    <w:rsid w:val="00DB09A4"/>
    <w:rsid w:val="00DC5E38"/>
    <w:rsid w:val="00DC62E7"/>
    <w:rsid w:val="00DC73AD"/>
    <w:rsid w:val="00DD16C4"/>
    <w:rsid w:val="00DD25D1"/>
    <w:rsid w:val="00DD2870"/>
    <w:rsid w:val="00DE03A7"/>
    <w:rsid w:val="00DE3FCB"/>
    <w:rsid w:val="00DE50D2"/>
    <w:rsid w:val="00DF470C"/>
    <w:rsid w:val="00DF486E"/>
    <w:rsid w:val="00DF4B1A"/>
    <w:rsid w:val="00DF67BB"/>
    <w:rsid w:val="00E05025"/>
    <w:rsid w:val="00E060CE"/>
    <w:rsid w:val="00E10A3D"/>
    <w:rsid w:val="00E11160"/>
    <w:rsid w:val="00E145DC"/>
    <w:rsid w:val="00E14637"/>
    <w:rsid w:val="00E14A0C"/>
    <w:rsid w:val="00E14B7E"/>
    <w:rsid w:val="00E1581D"/>
    <w:rsid w:val="00E1693B"/>
    <w:rsid w:val="00E16C90"/>
    <w:rsid w:val="00E2221D"/>
    <w:rsid w:val="00E22E00"/>
    <w:rsid w:val="00E243C8"/>
    <w:rsid w:val="00E263C0"/>
    <w:rsid w:val="00E27B4C"/>
    <w:rsid w:val="00E36856"/>
    <w:rsid w:val="00E44945"/>
    <w:rsid w:val="00E450A4"/>
    <w:rsid w:val="00E45DB8"/>
    <w:rsid w:val="00E4790A"/>
    <w:rsid w:val="00E47BF2"/>
    <w:rsid w:val="00E52B53"/>
    <w:rsid w:val="00E52CA8"/>
    <w:rsid w:val="00E5363B"/>
    <w:rsid w:val="00E60BFC"/>
    <w:rsid w:val="00E660D6"/>
    <w:rsid w:val="00E70F7F"/>
    <w:rsid w:val="00E81ACD"/>
    <w:rsid w:val="00E872A7"/>
    <w:rsid w:val="00E87AC0"/>
    <w:rsid w:val="00E90F14"/>
    <w:rsid w:val="00EA3BB3"/>
    <w:rsid w:val="00EA5DEE"/>
    <w:rsid w:val="00EB07D7"/>
    <w:rsid w:val="00EB1BD1"/>
    <w:rsid w:val="00EB6181"/>
    <w:rsid w:val="00EB67C0"/>
    <w:rsid w:val="00EB71E9"/>
    <w:rsid w:val="00EB75A8"/>
    <w:rsid w:val="00EC7F5A"/>
    <w:rsid w:val="00EE1ACB"/>
    <w:rsid w:val="00EE1BA7"/>
    <w:rsid w:val="00EE68A9"/>
    <w:rsid w:val="00EE7411"/>
    <w:rsid w:val="00EF3DA5"/>
    <w:rsid w:val="00EF60A9"/>
    <w:rsid w:val="00EF7114"/>
    <w:rsid w:val="00EF7501"/>
    <w:rsid w:val="00F032B6"/>
    <w:rsid w:val="00F0656F"/>
    <w:rsid w:val="00F075A8"/>
    <w:rsid w:val="00F133C8"/>
    <w:rsid w:val="00F230F0"/>
    <w:rsid w:val="00F30C12"/>
    <w:rsid w:val="00F4172A"/>
    <w:rsid w:val="00F418EC"/>
    <w:rsid w:val="00F46AB8"/>
    <w:rsid w:val="00F5023B"/>
    <w:rsid w:val="00F663D7"/>
    <w:rsid w:val="00F66B45"/>
    <w:rsid w:val="00F67DF1"/>
    <w:rsid w:val="00F7520A"/>
    <w:rsid w:val="00F75DD1"/>
    <w:rsid w:val="00F7608E"/>
    <w:rsid w:val="00F76195"/>
    <w:rsid w:val="00F97363"/>
    <w:rsid w:val="00FA4B87"/>
    <w:rsid w:val="00FA58D9"/>
    <w:rsid w:val="00FA692C"/>
    <w:rsid w:val="00FB06F7"/>
    <w:rsid w:val="00FB082B"/>
    <w:rsid w:val="00FB28FF"/>
    <w:rsid w:val="00FB6602"/>
    <w:rsid w:val="00FB767C"/>
    <w:rsid w:val="00FC1BB9"/>
    <w:rsid w:val="00FC7756"/>
    <w:rsid w:val="00FE4CC4"/>
    <w:rsid w:val="00FE79B9"/>
    <w:rsid w:val="00FF222C"/>
    <w:rsid w:val="00FF2243"/>
    <w:rsid w:val="00FF3F07"/>
    <w:rsid w:val="00FF5332"/>
    <w:rsid w:val="00FF547F"/>
    <w:rsid w:val="36B8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nhideWhenUsed="0" w:uiPriority="0" w:semiHidden="0" w:name="Block Text"/>
    <w:lsdException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tLeast"/>
    </w:pPr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7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8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7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link w:val="38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link w:val="39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link w:val="40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link w:val="4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link w:val="42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3">
    <w:name w:val="Default Paragraph Font"/>
    <w:semiHidden/>
    <w:unhideWhenUsed/>
    <w:uiPriority w:val="1"/>
  </w:style>
  <w:style w:type="table" w:default="1" w:styleId="2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Normal Indent"/>
    <w:basedOn w:val="1"/>
    <w:link w:val="31"/>
    <w:autoRedefine/>
    <w:qFormat/>
    <w:uiPriority w:val="0"/>
    <w:pPr>
      <w:adjustRightInd w:val="0"/>
      <w:spacing w:before="50" w:beforeLines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13">
    <w:name w:val="caption"/>
    <w:basedOn w:val="1"/>
    <w:next w:val="1"/>
    <w:autoRedefine/>
    <w:unhideWhenUsed/>
    <w:qFormat/>
    <w:uiPriority w:val="0"/>
    <w:rPr>
      <w:rFonts w:ascii="Cambria" w:hAnsi="Cambria" w:eastAsia="黑体"/>
      <w:sz w:val="20"/>
    </w:rPr>
  </w:style>
  <w:style w:type="paragraph" w:styleId="14">
    <w:name w:val="Document Map"/>
    <w:basedOn w:val="1"/>
    <w:link w:val="44"/>
    <w:autoRedefine/>
    <w:semiHidden/>
    <w:qFormat/>
    <w:uiPriority w:val="0"/>
    <w:pPr>
      <w:shd w:val="clear" w:color="auto" w:fill="000080"/>
    </w:pPr>
  </w:style>
  <w:style w:type="paragraph" w:styleId="15">
    <w:name w:val="toc 3"/>
    <w:basedOn w:val="1"/>
    <w:next w:val="1"/>
    <w:autoRedefine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6">
    <w:name w:val="Balloon Text"/>
    <w:basedOn w:val="1"/>
    <w:link w:val="34"/>
    <w:qFormat/>
    <w:uiPriority w:val="0"/>
    <w:pPr>
      <w:spacing w:line="240" w:lineRule="auto"/>
    </w:pPr>
    <w:rPr>
      <w:sz w:val="18"/>
      <w:szCs w:val="18"/>
    </w:rPr>
  </w:style>
  <w:style w:type="paragraph" w:styleId="17">
    <w:name w:val="footer"/>
    <w:basedOn w:val="1"/>
    <w:link w:val="29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8">
    <w:name w:val="header"/>
    <w:basedOn w:val="1"/>
    <w:link w:val="4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9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20">
    <w:name w:val="toc 2"/>
    <w:basedOn w:val="1"/>
    <w:next w:val="1"/>
    <w:autoRedefine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22">
    <w:name w:val="Table Grid"/>
    <w:basedOn w:val="21"/>
    <w:autoRedefine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FollowedHyperlink"/>
    <w:autoRedefine/>
    <w:unhideWhenUsed/>
    <w:qFormat/>
    <w:uiPriority w:val="99"/>
    <w:rPr>
      <w:color w:val="800080"/>
      <w:u w:val="single"/>
    </w:rPr>
  </w:style>
  <w:style w:type="character" w:styleId="25">
    <w:name w:val="Emphasis"/>
    <w:autoRedefine/>
    <w:qFormat/>
    <w:uiPriority w:val="20"/>
    <w:rPr>
      <w:color w:val="CC0000"/>
    </w:rPr>
  </w:style>
  <w:style w:type="character" w:styleId="26">
    <w:name w:val="Hyperlink"/>
    <w:uiPriority w:val="99"/>
    <w:rPr>
      <w:color w:val="0000FF"/>
      <w:u w:val="single"/>
    </w:rPr>
  </w:style>
  <w:style w:type="character" w:customStyle="1" w:styleId="27">
    <w:name w:val="标题 1 字符"/>
    <w:link w:val="2"/>
    <w:autoRedefine/>
    <w:uiPriority w:val="0"/>
    <w:rPr>
      <w:b/>
      <w:bCs/>
      <w:kern w:val="32"/>
      <w:sz w:val="28"/>
      <w:szCs w:val="28"/>
    </w:rPr>
  </w:style>
  <w:style w:type="character" w:customStyle="1" w:styleId="28">
    <w:name w:val="标题 2 字符"/>
    <w:link w:val="4"/>
    <w:autoRedefine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29">
    <w:name w:val="页脚 字符"/>
    <w:link w:val="17"/>
    <w:autoRedefine/>
    <w:qFormat/>
    <w:uiPriority w:val="99"/>
    <w:rPr>
      <w:sz w:val="21"/>
      <w:szCs w:val="18"/>
      <w:lang w:val="en-GB"/>
    </w:rPr>
  </w:style>
  <w:style w:type="paragraph" w:customStyle="1" w:styleId="30">
    <w:name w:val="lj正文"/>
    <w:autoRedefine/>
    <w:qFormat/>
    <w:uiPriority w:val="0"/>
    <w:pPr>
      <w:shd w:val="clear" w:color="auto" w:fill="FFFFFF"/>
      <w:spacing w:line="360" w:lineRule="auto"/>
      <w:ind w:firstLine="200" w:firstLineChars="200"/>
    </w:pPr>
    <w:rPr>
      <w:rFonts w:ascii="宋体" w:hAnsi="宋体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1">
    <w:name w:val="正文缩进 字符"/>
    <w:link w:val="12"/>
    <w:autoRedefine/>
    <w:qFormat/>
    <w:uiPriority w:val="0"/>
    <w:rPr>
      <w:rFonts w:ascii="宋体"/>
      <w:sz w:val="21"/>
    </w:rPr>
  </w:style>
  <w:style w:type="paragraph" w:styleId="32">
    <w:name w:val="List Paragraph"/>
    <w:basedOn w:val="1"/>
    <w:qFormat/>
    <w:uiPriority w:val="34"/>
    <w:pPr>
      <w:spacing w:before="50" w:beforeLines="50" w:line="240" w:lineRule="auto"/>
      <w:ind w:left="420" w:firstLine="420" w:firstLineChars="20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3">
    <w:name w:val="标题 3 字符"/>
    <w:link w:val="5"/>
    <w:autoRedefine/>
    <w:uiPriority w:val="0"/>
    <w:rPr>
      <w:rFonts w:ascii="宋体" w:hAnsi="宋体" w:cs="Arial"/>
      <w:b/>
      <w:bCs/>
      <w:sz w:val="21"/>
      <w:szCs w:val="21"/>
    </w:rPr>
  </w:style>
  <w:style w:type="character" w:customStyle="1" w:styleId="34">
    <w:name w:val="批注框文本 字符"/>
    <w:link w:val="16"/>
    <w:autoRedefine/>
    <w:qFormat/>
    <w:uiPriority w:val="0"/>
    <w:rPr>
      <w:sz w:val="18"/>
      <w:szCs w:val="18"/>
      <w:lang w:val="en-GB"/>
    </w:rPr>
  </w:style>
  <w:style w:type="character" w:styleId="35">
    <w:name w:val="Placeholder Text"/>
    <w:autoRedefine/>
    <w:semiHidden/>
    <w:qFormat/>
    <w:uiPriority w:val="99"/>
    <w:rPr>
      <w:color w:val="808080"/>
    </w:rPr>
  </w:style>
  <w:style w:type="paragraph" w:styleId="36">
    <w:name w:val="No Spacing"/>
    <w:autoRedefine/>
    <w:qFormat/>
    <w:uiPriority w:val="1"/>
    <w:rPr>
      <w:rFonts w:ascii="Times New Roman" w:hAnsi="Times New Roman" w:eastAsia="宋体" w:cs="Times New Roman"/>
      <w:sz w:val="21"/>
      <w:lang w:val="en-GB" w:eastAsia="zh-CN" w:bidi="ar-SA"/>
    </w:rPr>
  </w:style>
  <w:style w:type="character" w:customStyle="1" w:styleId="37">
    <w:name w:val="标题 4 字符"/>
    <w:link w:val="6"/>
    <w:autoRedefine/>
    <w:qFormat/>
    <w:uiPriority w:val="0"/>
    <w:rPr>
      <w:b/>
      <w:bCs/>
      <w:sz w:val="21"/>
      <w:szCs w:val="28"/>
      <w:lang w:val="en-GB"/>
    </w:rPr>
  </w:style>
  <w:style w:type="character" w:customStyle="1" w:styleId="38">
    <w:name w:val="标题 5 字符"/>
    <w:link w:val="7"/>
    <w:autoRedefine/>
    <w:qFormat/>
    <w:uiPriority w:val="0"/>
    <w:rPr>
      <w:b/>
      <w:bCs/>
      <w:iCs/>
      <w:sz w:val="21"/>
      <w:szCs w:val="26"/>
      <w:lang w:val="en-GB"/>
    </w:rPr>
  </w:style>
  <w:style w:type="character" w:customStyle="1" w:styleId="39">
    <w:name w:val="标题 6 字符"/>
    <w:link w:val="8"/>
    <w:autoRedefine/>
    <w:qFormat/>
    <w:uiPriority w:val="0"/>
    <w:rPr>
      <w:b/>
      <w:bCs/>
      <w:sz w:val="21"/>
      <w:szCs w:val="22"/>
      <w:lang w:val="en-GB"/>
    </w:rPr>
  </w:style>
  <w:style w:type="character" w:customStyle="1" w:styleId="40">
    <w:name w:val="标题 7 字符"/>
    <w:link w:val="9"/>
    <w:autoRedefine/>
    <w:qFormat/>
    <w:uiPriority w:val="0"/>
    <w:rPr>
      <w:sz w:val="24"/>
      <w:szCs w:val="24"/>
      <w:lang w:val="en-GB"/>
    </w:rPr>
  </w:style>
  <w:style w:type="character" w:customStyle="1" w:styleId="41">
    <w:name w:val="标题 8 字符"/>
    <w:link w:val="10"/>
    <w:autoRedefine/>
    <w:qFormat/>
    <w:uiPriority w:val="0"/>
    <w:rPr>
      <w:i/>
      <w:iCs/>
      <w:sz w:val="24"/>
      <w:szCs w:val="24"/>
      <w:lang w:val="en-GB"/>
    </w:rPr>
  </w:style>
  <w:style w:type="character" w:customStyle="1" w:styleId="42">
    <w:name w:val="标题 9 字符"/>
    <w:link w:val="11"/>
    <w:autoRedefine/>
    <w:qFormat/>
    <w:uiPriority w:val="0"/>
    <w:rPr>
      <w:rFonts w:ascii="Arial" w:hAnsi="Arial" w:cs="Arial"/>
      <w:sz w:val="22"/>
      <w:szCs w:val="22"/>
      <w:lang w:val="en-GB"/>
    </w:rPr>
  </w:style>
  <w:style w:type="character" w:customStyle="1" w:styleId="43">
    <w:name w:val="页眉 字符"/>
    <w:link w:val="18"/>
    <w:autoRedefine/>
    <w:qFormat/>
    <w:uiPriority w:val="0"/>
    <w:rPr>
      <w:sz w:val="21"/>
      <w:szCs w:val="18"/>
      <w:lang w:val="en-GB"/>
    </w:rPr>
  </w:style>
  <w:style w:type="character" w:customStyle="1" w:styleId="44">
    <w:name w:val="文档结构图 字符"/>
    <w:link w:val="14"/>
    <w:autoRedefine/>
    <w:semiHidden/>
    <w:qFormat/>
    <w:uiPriority w:val="0"/>
    <w:rPr>
      <w:sz w:val="21"/>
      <w:shd w:val="clear" w:color="auto" w:fill="00008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numbering" Target="numbering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image" Target="media/image4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yi8888\AppData\Local\Temp\tmp10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5AE21-997A-4B85-8B6E-893C217D5F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tmp107.dotx</Template>
  <Company>ths</Company>
  <Pages>8</Pages>
  <Words>2279</Words>
  <Characters>12993</Characters>
  <Lines>108</Lines>
  <Paragraphs>30</Paragraphs>
  <TotalTime>0</TotalTime>
  <ScaleCrop>false</ScaleCrop>
  <LinksUpToDate>false</LinksUpToDate>
  <CharactersWithSpaces>15242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2024-01-05T03:08:00Z</dcterms:created>
  <dc:creator>keyi8888</dc:creator>
  <cp:lastModifiedBy>星河</cp:lastModifiedBy>
  <cp:lastPrinted>1900-12-31T16:00:00Z</cp:lastPrinted>
  <dcterms:modified xsi:type="dcterms:W3CDTF">2024-01-07T13:56:16Z</dcterms:modified>
  <dc:title>室内热舒适预计达标比例报告书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DCA28FD6F3A443518C2FF820758F507D_12</vt:lpwstr>
  </property>
</Properties>
</file>