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967D9"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 xml:space="preserve">4.1.3 </w:t>
      </w:r>
      <w:r>
        <w:rPr>
          <w:rFonts w:hint="eastAsia" w:ascii="Times New Roman" w:hAnsi="Times New Roman" w:eastAsiaTheme="minorEastAsia"/>
        </w:rPr>
        <w:t>外遮阳、太阳能设施、空调室外机位、外墙花池等外部设施应与建筑主体结构统一设计、施工，并应具备安装、检修与维护条件。</w:t>
      </w:r>
    </w:p>
    <w:p w14:paraId="6A6C6D8A">
      <w:pPr>
        <w:numPr>
          <w:ilvl w:val="0"/>
          <w:numId w:val="1"/>
        </w:numPr>
        <w:spacing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达标自评</w:t>
      </w:r>
    </w:p>
    <w:p w14:paraId="5C3ADF6D">
      <w:pPr>
        <w:spacing w:line="288" w:lineRule="auto"/>
        <w:rPr>
          <w:rFonts w:eastAsiaTheme="minorEastAsia"/>
          <w:b/>
          <w:bCs/>
          <w:szCs w:val="21"/>
          <w:lang w:val="zh-CN"/>
        </w:rPr>
      </w:pPr>
      <w:sdt>
        <w:sdtPr>
          <w:rPr>
            <w:rFonts w:hint="eastAsia" w:eastAsiaTheme="minorEastAsia"/>
            <w:b/>
            <w:szCs w:val="21"/>
          </w:rPr>
          <w:id w:val="3683493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/>
            <w:szCs w:val="21"/>
          </w:rPr>
        </w:sdtEndPr>
        <w:sdtContent>
          <w:r>
            <w:rPr>
              <w:rFonts w:hint="eastAsia" w:ascii="Wingdings 2" w:hAnsi="Wingdings 2" w:cs="Times New Roman" w:eastAsiaTheme="minorEastAsia"/>
              <w:b/>
              <w:kern w:val="2"/>
              <w:sz w:val="21"/>
              <w:szCs w:val="21"/>
              <w:lang w:val="en-US" w:eastAsia="zh-CN" w:bidi="ar-SA"/>
            </w:rPr>
            <w:t>R</w:t>
          </w:r>
        </w:sdtContent>
      </w:sdt>
      <w:r>
        <w:rPr>
          <w:rFonts w:eastAsiaTheme="minorEastAsia"/>
          <w:b/>
          <w:szCs w:val="21"/>
        </w:rPr>
        <w:t xml:space="preserve"> </w:t>
      </w:r>
      <w:r>
        <w:rPr>
          <w:rFonts w:hint="eastAsia" w:eastAsiaTheme="minorEastAsia"/>
        </w:rPr>
        <w:t xml:space="preserve">达标； </w:t>
      </w:r>
      <w:sdt>
        <w:sdtPr>
          <w:rPr>
            <w:rFonts w:hint="eastAsia" w:eastAsiaTheme="minorEastAsia"/>
            <w:b/>
            <w:szCs w:val="21"/>
          </w:rPr>
          <w:id w:val="4149914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/>
            <w:szCs w:val="21"/>
          </w:rPr>
        </w:sdtEndPr>
        <w:sdtContent>
          <w:r>
            <w:rPr>
              <w:rFonts w:hint="eastAsia" w:eastAsiaTheme="minorEastAsia"/>
              <w:b/>
              <w:szCs w:val="21"/>
            </w:rPr>
            <w:sym w:font="Wingdings 2" w:char="F0A3"/>
          </w:r>
        </w:sdtContent>
      </w:sdt>
      <w:r>
        <w:rPr>
          <w:rFonts w:eastAsiaTheme="minorEastAsia"/>
          <w:b/>
          <w:szCs w:val="21"/>
        </w:rPr>
        <w:t xml:space="preserve"> </w:t>
      </w:r>
      <w:r>
        <w:rPr>
          <w:rFonts w:hint="eastAsia" w:eastAsiaTheme="minorEastAsia"/>
        </w:rPr>
        <w:t>不达标</w:t>
      </w:r>
    </w:p>
    <w:p w14:paraId="6CC73806">
      <w:pPr>
        <w:numPr>
          <w:ilvl w:val="0"/>
          <w:numId w:val="1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评价要点</w:t>
      </w:r>
    </w:p>
    <w:p w14:paraId="23DCF846">
      <w:pPr>
        <w:pStyle w:val="12"/>
        <w:numPr>
          <w:ilvl w:val="0"/>
          <w:numId w:val="2"/>
        </w:numPr>
        <w:spacing w:before="100"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是否具备后期检修和维护条件</w:t>
      </w:r>
    </w:p>
    <w:p w14:paraId="14C00AB5">
      <w:pPr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lang w:val="zh-CN"/>
        </w:rPr>
        <w:t>建筑外部内是否有以下设施：</w:t>
      </w:r>
    </w:p>
    <w:p w14:paraId="1FC1BDAC">
      <w:pPr>
        <w:spacing w:line="288" w:lineRule="auto"/>
        <w:rPr>
          <w:rFonts w:eastAsiaTheme="minorEastAsia"/>
          <w:lang w:val="zh-CN"/>
        </w:rPr>
      </w:pPr>
      <w:sdt>
        <w:sdtPr>
          <w:rPr>
            <w:rFonts w:hint="eastAsia" w:eastAsiaTheme="minorEastAsia"/>
            <w:b/>
            <w:szCs w:val="21"/>
          </w:rPr>
          <w:id w:val="165564341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/>
            <w:szCs w:val="21"/>
          </w:rPr>
        </w:sdtEndPr>
        <w:sdtContent>
          <w:r>
            <w:rPr>
              <w:rFonts w:hint="eastAsia" w:eastAsiaTheme="minorEastAsia"/>
              <w:b/>
              <w:szCs w:val="21"/>
            </w:rPr>
            <w:sym w:font="Wingdings 2" w:char="F0A3"/>
          </w:r>
        </w:sdtContent>
      </w:sdt>
      <w:r>
        <w:rPr>
          <w:rFonts w:eastAsiaTheme="minorEastAsia"/>
          <w:b/>
          <w:szCs w:val="21"/>
        </w:rPr>
        <w:t xml:space="preserve"> </w:t>
      </w:r>
      <w:r>
        <w:rPr>
          <w:rFonts w:hint="eastAsia" w:eastAsiaTheme="minorEastAsia"/>
        </w:rPr>
        <w:t>检修通道</w:t>
      </w:r>
      <w:r>
        <w:rPr>
          <w:rFonts w:hint="eastAsia" w:eastAsiaTheme="minorEastAsia"/>
          <w:lang w:val="zh-CN"/>
        </w:rPr>
        <w:t>、</w:t>
      </w:r>
      <w:sdt>
        <w:sdtPr>
          <w:rPr>
            <w:rFonts w:hint="eastAsia" w:eastAsiaTheme="minorEastAsia"/>
            <w:b/>
            <w:szCs w:val="21"/>
          </w:rPr>
          <w:id w:val="-154535933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/>
            <w:szCs w:val="21"/>
          </w:rPr>
        </w:sdtEndPr>
        <w:sdtContent>
          <w:r>
            <w:rPr>
              <w:rFonts w:hint="eastAsia" w:eastAsiaTheme="minorEastAsia"/>
              <w:b/>
              <w:szCs w:val="21"/>
            </w:rPr>
            <w:sym w:font="Wingdings 2" w:char="F0A3"/>
          </w:r>
        </w:sdtContent>
      </w:sdt>
      <w:r>
        <w:rPr>
          <w:rFonts w:eastAsiaTheme="minorEastAsia"/>
          <w:b/>
          <w:szCs w:val="21"/>
        </w:rPr>
        <w:t xml:space="preserve"> </w:t>
      </w:r>
      <w:r>
        <w:rPr>
          <w:rFonts w:hint="eastAsia" w:eastAsiaTheme="minorEastAsia"/>
          <w:lang w:val="zh-CN"/>
        </w:rPr>
        <w:t>马道、</w:t>
      </w:r>
      <w:sdt>
        <w:sdtPr>
          <w:rPr>
            <w:rFonts w:hint="eastAsia" w:eastAsiaTheme="minorEastAsia"/>
            <w:b/>
            <w:szCs w:val="21"/>
          </w:rPr>
          <w:id w:val="-14593330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/>
            <w:szCs w:val="21"/>
          </w:rPr>
        </w:sdtEndPr>
        <w:sdtContent>
          <w:r>
            <w:rPr>
              <w:rFonts w:hint="eastAsia" w:eastAsiaTheme="minorEastAsia"/>
              <w:b/>
              <w:szCs w:val="21"/>
            </w:rPr>
            <w:sym w:font="Wingdings 2" w:char="F0A3"/>
          </w:r>
        </w:sdtContent>
      </w:sdt>
      <w:r>
        <w:rPr>
          <w:rFonts w:eastAsiaTheme="minorEastAsia"/>
          <w:b/>
          <w:szCs w:val="21"/>
        </w:rPr>
        <w:t xml:space="preserve"> </w:t>
      </w:r>
      <w:r>
        <w:rPr>
          <w:rFonts w:hint="eastAsia" w:eastAsiaTheme="minorEastAsia"/>
          <w:lang w:val="zh-CN"/>
        </w:rPr>
        <w:t>吊篮固定端、</w:t>
      </w:r>
      <w:sdt>
        <w:sdtPr>
          <w:rPr>
            <w:rFonts w:hint="eastAsia" w:eastAsiaTheme="minorEastAsia"/>
            <w:b/>
            <w:szCs w:val="21"/>
          </w:rPr>
          <w:id w:val="-5208345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/>
            <w:szCs w:val="21"/>
          </w:rPr>
        </w:sdtEndPr>
        <w:sdtContent>
          <w:r>
            <w:rPr>
              <w:rFonts w:hint="eastAsia" w:eastAsiaTheme="minorEastAsia"/>
              <w:b/>
              <w:szCs w:val="21"/>
            </w:rPr>
            <w:sym w:font="Wingdings 2" w:char="F0A3"/>
          </w:r>
        </w:sdtContent>
      </w:sdt>
      <w:r>
        <w:rPr>
          <w:rFonts w:eastAsiaTheme="minorEastAsia"/>
          <w:b/>
          <w:szCs w:val="21"/>
        </w:rPr>
        <w:t xml:space="preserve"> </w:t>
      </w:r>
      <w:r>
        <w:rPr>
          <w:rFonts w:hint="eastAsia" w:eastAsiaTheme="minorEastAsia"/>
          <w:lang w:val="zh-CN"/>
        </w:rPr>
        <w:t>预埋件、</w:t>
      </w:r>
      <w:sdt>
        <w:sdtPr>
          <w:rPr>
            <w:rFonts w:hint="eastAsia" w:eastAsiaTheme="minorEastAsia"/>
            <w:b/>
            <w:szCs w:val="21"/>
          </w:rPr>
          <w:id w:val="-26815784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/>
            <w:szCs w:val="21"/>
          </w:rPr>
        </w:sdtEndPr>
        <w:sdtContent>
          <w:r>
            <w:rPr>
              <w:rFonts w:hint="eastAsia" w:ascii="Wingdings 2" w:hAnsi="Wingdings 2" w:cs="Times New Roman" w:eastAsiaTheme="minorEastAsia"/>
              <w:b/>
              <w:kern w:val="2"/>
              <w:sz w:val="21"/>
              <w:szCs w:val="21"/>
              <w:lang w:val="en-US" w:eastAsia="zh-CN" w:bidi="ar-SA"/>
            </w:rPr>
            <w:t>R</w:t>
          </w:r>
        </w:sdtContent>
      </w:sdt>
      <w:r>
        <w:rPr>
          <w:rFonts w:eastAsiaTheme="minorEastAsia"/>
          <w:b/>
          <w:szCs w:val="21"/>
        </w:rPr>
        <w:t xml:space="preserve"> </w:t>
      </w:r>
      <w:r>
        <w:rPr>
          <w:rFonts w:hint="eastAsia" w:eastAsiaTheme="minorEastAsia"/>
        </w:rPr>
        <w:t>以上皆无</w:t>
      </w:r>
    </w:p>
    <w:p w14:paraId="4FEDFA53">
      <w:pPr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</w:rPr>
        <w:t>如无以上设施</w:t>
      </w:r>
      <w:r>
        <w:rPr>
          <w:rFonts w:hint="eastAsia" w:eastAsiaTheme="minorEastAsia"/>
          <w:lang w:val="zh-CN"/>
        </w:rPr>
        <w:t>，简要说明保障安装、检修与维护的措施</w:t>
      </w:r>
      <w:r>
        <w:rPr>
          <w:rFonts w:hint="eastAsia" w:eastAsiaTheme="minorEastAsia"/>
        </w:rPr>
        <w:t>：（</w:t>
      </w:r>
      <w:r>
        <w:rPr>
          <w:rFonts w:eastAsiaTheme="minorEastAsia"/>
        </w:rPr>
        <w:t>200</w:t>
      </w:r>
      <w:r>
        <w:rPr>
          <w:rFonts w:hint="eastAsia" w:eastAsiaTheme="minorEastAsia"/>
        </w:rPr>
        <w:t>字以内）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733B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522" w:type="dxa"/>
          </w:tcPr>
          <w:p w14:paraId="76835CD8">
            <w:pPr>
              <w:spacing w:line="288" w:lineRule="auto"/>
              <w:ind w:firstLine="420" w:firstLineChars="200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本项目在楼面浇筑的同时将预埋件埋入结构层，施工时将集热器利用钢管焊接在预埋件上，并根据图纸确定楼板间循环管道立管管道孔位置，设计管道分路，在相应位置做好管道套管预埋洞预留，满足与建筑主体结构进行统一设计、施工。</w:t>
            </w:r>
          </w:p>
        </w:tc>
      </w:tr>
    </w:tbl>
    <w:p w14:paraId="586690CF">
      <w:pPr>
        <w:numPr>
          <w:ilvl w:val="0"/>
          <w:numId w:val="1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证明材料</w:t>
      </w:r>
    </w:p>
    <w:p w14:paraId="25002865">
      <w:pPr>
        <w:spacing w:before="156" w:beforeLines="50" w:after="156" w:afterLines="5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6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999"/>
        <w:gridCol w:w="3608"/>
        <w:gridCol w:w="1181"/>
        <w:gridCol w:w="796"/>
      </w:tblGrid>
      <w:tr w14:paraId="3C7E5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77B6742E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66944034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5CF88E94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1ECF21D5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60458AD1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14:paraId="40188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88BC4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E41A1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外部设施设计说明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4443D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应体现外部设施的位置、尺寸、构造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CC20D"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2A5888F3"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07D1E"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642A1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9E929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AC441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外部设施计算书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3C90D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应包括承载力极限值、正常使用极限值和耐久性极限值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DC6E4"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51C41587"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13979"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7B117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D9D8C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结构设计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CA344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外部设施结构设计大样图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74589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应体现外部设施的位置、尺寸、构造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7D858"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27A0CA56"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5872F"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384DA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71822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F80E3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外部设施相关管理与维修记录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7F7D8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应包括定期查验记录与维修记录等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BAFDB"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0F2D9"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48211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6B4F12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64CF6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相关检测检验报告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CA398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应明确外部设施的结构构件、预埋件等的检验验证参数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5E254"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61C31"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 w14:paraId="7712C910"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3E6B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61" w:hRule="atLeast"/>
          <w:jc w:val="center"/>
        </w:trPr>
        <w:tc>
          <w:tcPr>
            <w:tcW w:w="9356" w:type="dxa"/>
          </w:tcPr>
          <w:tbl>
            <w:tblPr>
              <w:tblStyle w:val="6"/>
              <w:tblW w:w="8320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6"/>
              <w:gridCol w:w="1999"/>
              <w:gridCol w:w="3608"/>
              <w:gridCol w:w="1181"/>
              <w:gridCol w:w="796"/>
            </w:tblGrid>
            <w:tr w14:paraId="692A042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tblHeader/>
                <w:jc w:val="center"/>
              </w:trPr>
              <w:tc>
                <w:tcPr>
                  <w:tcW w:w="7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69BFE198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专业分类</w:t>
                  </w:r>
                </w:p>
              </w:tc>
              <w:tc>
                <w:tcPr>
                  <w:tcW w:w="20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71AA0C6A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材料名称</w:t>
                  </w:r>
                </w:p>
              </w:tc>
              <w:tc>
                <w:tcPr>
                  <w:tcW w:w="36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274FFD20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技术要求</w:t>
                  </w:r>
                </w:p>
              </w:tc>
              <w:tc>
                <w:tcPr>
                  <w:tcW w:w="11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4832E318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评价阶段</w:t>
                  </w:r>
                </w:p>
              </w:tc>
              <w:tc>
                <w:tcPr>
                  <w:tcW w:w="8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56A1A1F8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建筑类型</w:t>
                  </w:r>
                </w:p>
              </w:tc>
            </w:tr>
            <w:tr w14:paraId="7B42CBD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40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7B6D8F8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建筑设计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1901608">
                  <w:pPr>
                    <w:widowControl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外部设施设计说明</w:t>
                  </w: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B317FFB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应体现外部设施的位置、尺寸、构造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C79AB5E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预评价</w:t>
                  </w:r>
                  <w:bookmarkStart w:id="0" w:name="_GoBack"/>
                  <w:bookmarkEnd w:id="0"/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9A46B00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  <w:tr w14:paraId="729E02C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4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61ED48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AC703BC">
                  <w:pPr>
                    <w:widowControl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外部设施计算书</w:t>
                  </w: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08E56CD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应包括承载力极限值、正常使用极限值和耐久性极限值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AB25D95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预评价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7E76921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  <w:tr w14:paraId="69D9416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6CDAE37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结构设计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9AF9340">
                  <w:pPr>
                    <w:widowControl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外部设施结构设计大样图</w:t>
                  </w: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68FBDB4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应体现外部设施的位置、尺寸、构造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3C099DB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预评价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8D17F37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  <w:tr w14:paraId="0552338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40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7A2CE8D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D7FAC7C">
                  <w:pPr>
                    <w:widowControl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D32C97D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1CEE41A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7CC1733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2E779D4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 w14:paraId="28292DF9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8F73E1A">
                  <w:pPr>
                    <w:widowControl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C363763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9A97748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C502B83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7AA27787">
            <w:pPr>
              <w:rPr>
                <w:kern w:val="0"/>
                <w:sz w:val="20"/>
                <w:szCs w:val="21"/>
              </w:rPr>
            </w:pPr>
          </w:p>
        </w:tc>
      </w:tr>
    </w:tbl>
    <w:p w14:paraId="5B637DFC">
      <w:pPr>
        <w:rPr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5AE93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2D493C"/>
    <w:multiLevelType w:val="multilevel"/>
    <w:tmpl w:val="382D493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82"/>
    <w:rsid w:val="001D4ADF"/>
    <w:rsid w:val="001E1F0A"/>
    <w:rsid w:val="002775CD"/>
    <w:rsid w:val="003755F4"/>
    <w:rsid w:val="004225F6"/>
    <w:rsid w:val="004D7D6C"/>
    <w:rsid w:val="005B4ECF"/>
    <w:rsid w:val="006C12AE"/>
    <w:rsid w:val="00715C3E"/>
    <w:rsid w:val="007805D8"/>
    <w:rsid w:val="00AC099E"/>
    <w:rsid w:val="00C803FD"/>
    <w:rsid w:val="00CA68BE"/>
    <w:rsid w:val="00CE1582"/>
    <w:rsid w:val="00E84F9E"/>
    <w:rsid w:val="00EA6919"/>
    <w:rsid w:val="00F83B01"/>
    <w:rsid w:val="00F8598D"/>
    <w:rsid w:val="4816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11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3 Char"/>
    <w:basedOn w:val="8"/>
    <w:link w:val="3"/>
    <w:qFormat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3">
    <w:name w:val="标题 2 Char"/>
    <w:basedOn w:val="8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511</Words>
  <Characters>517</Characters>
  <Lines>4</Lines>
  <Paragraphs>1</Paragraphs>
  <TotalTime>1</TotalTime>
  <ScaleCrop>false</ScaleCrop>
  <LinksUpToDate>false</LinksUpToDate>
  <CharactersWithSpaces>526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2020-06-02T09:01:00Z</dcterms:created>
  <dc:creator>dongYP</dc:creator>
  <cp:lastModifiedBy>清</cp:lastModifiedBy>
  <dcterms:modified xsi:type="dcterms:W3CDTF">2025-03-13T08:16:50Z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eyJoZGlkIjoiMTJkYTM2ODYxNGRkOWUxYzA3NGM4Y2M1ODhjZDcyNjkiLCJ1c2VySWQiOiIxMjU4NTI1MjM2In0=</vt:lpwstr>
  </property>
  <property fmtid="{D5CDD505-2E9C-101B-9397-08002B2CF9AE}" pid="3" name="KSOProductBuildVer">
    <vt:lpwstr>2052-12.1.0.20305</vt:lpwstr>
  </property>
  <property fmtid="{D5CDD505-2E9C-101B-9397-08002B2CF9AE}" pid="4" name="ICV">
    <vt:lpwstr>8DCBDC2E6301473EAB8E861B31981B12_12</vt:lpwstr>
  </property>
</Properties>
</file>