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1FF3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6.1.</w:t>
      </w:r>
      <w:r>
        <w:rPr>
          <w:rFonts w:hint="eastAsia" w:ascii="Times New Roman" w:hAnsi="Times New Roman" w:eastAsiaTheme="minorEastAsia"/>
        </w:rPr>
        <w:t>2场地人行出入口 500m 内应设有公共交通站点或配备联系公共交通站点的专用接驳车。</w:t>
      </w:r>
    </w:p>
    <w:p w14:paraId="72BFFC26">
      <w:pPr>
        <w:numPr>
          <w:ilvl w:val="0"/>
          <w:numId w:val="1"/>
        </w:numPr>
        <w:spacing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达标自评</w:t>
      </w:r>
    </w:p>
    <w:p w14:paraId="04E63899">
      <w:pPr>
        <w:spacing w:line="288" w:lineRule="auto"/>
        <w:rPr>
          <w:rFonts w:eastAsiaTheme="minorEastAsia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达标</w:t>
      </w:r>
      <w:r>
        <w:rPr>
          <w:rFonts w:hint="eastAsia" w:cs="宋体" w:eastAsiaTheme="minorEastAsia"/>
          <w:lang w:val="zh-CN"/>
        </w:rPr>
        <w:t>；</w:t>
      </w:r>
      <w:sdt>
        <w:sdtPr>
          <w:rPr>
            <w:rFonts w:hint="eastAsia" w:eastAsiaTheme="minorEastAsia"/>
            <w:sz w:val="28"/>
          </w:rPr>
          <w:id w:val="-127748018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szCs w:val="21"/>
        </w:rPr>
        <w:t>不达标</w:t>
      </w:r>
    </w:p>
    <w:p w14:paraId="42235D9D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评价要点</w:t>
      </w:r>
    </w:p>
    <w:p w14:paraId="235BFDDC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设置公共交通站点</w:t>
      </w:r>
    </w:p>
    <w:p w14:paraId="7EAFA30E">
      <w:pPr>
        <w:spacing w:line="288" w:lineRule="auto"/>
        <w:ind w:left="210"/>
        <w:rPr>
          <w:rFonts w:eastAsiaTheme="minorEastAsia"/>
          <w:kern w:val="0"/>
        </w:rPr>
      </w:pPr>
      <w:r>
        <w:rPr>
          <w:rFonts w:hint="eastAsia" w:eastAsiaTheme="minorEastAsia"/>
        </w:rPr>
        <w:t>是否具有公共交通站点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-121287079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431171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否</w:t>
      </w:r>
    </w:p>
    <w:p w14:paraId="2B1EE891">
      <w:pPr>
        <w:spacing w:line="288" w:lineRule="auto"/>
        <w:ind w:left="210"/>
        <w:rPr>
          <w:rFonts w:eastAsiaTheme="minorEastAsia"/>
          <w:b/>
          <w:lang w:val="zh-CN"/>
        </w:rPr>
      </w:pPr>
      <w:r>
        <w:rPr>
          <w:rFonts w:hint="eastAsia" w:eastAsiaTheme="minorEastAsia"/>
        </w:rPr>
        <w:t>场地人行出入口到公共交通站点的距离：</w:t>
      </w:r>
      <w:r>
        <w:rPr>
          <w:rFonts w:eastAsiaTheme="minorEastAsia"/>
          <w:kern w:val="0"/>
        </w:rPr>
        <w:t>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___</w:t>
      </w:r>
      <w:r>
        <w:rPr>
          <w:rFonts w:hint="eastAsia" w:eastAsiaTheme="minorEastAsia"/>
          <w:kern w:val="0"/>
        </w:rPr>
        <w:t>m</w:t>
      </w:r>
    </w:p>
    <w:p w14:paraId="7AAC5380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配备专用接驳车</w:t>
      </w:r>
    </w:p>
    <w:p w14:paraId="76688657">
      <w:pPr>
        <w:spacing w:line="288" w:lineRule="auto"/>
        <w:ind w:left="210"/>
        <w:rPr>
          <w:rFonts w:eastAsiaTheme="minorEastAsia"/>
          <w:kern w:val="0"/>
        </w:rPr>
      </w:pPr>
      <w:r>
        <w:rPr>
          <w:rFonts w:hint="eastAsia" w:eastAsiaTheme="minorEastAsia"/>
        </w:rPr>
        <w:t>是否配备联系公共交通站点的专用接驳车</w:t>
      </w:r>
      <w:r>
        <w:rPr>
          <w:rFonts w:hint="eastAsia" w:eastAsiaTheme="minorEastAsia"/>
          <w:kern w:val="0"/>
        </w:rPr>
        <w:t>：</w:t>
      </w:r>
      <w:sdt>
        <w:sdtPr>
          <w:rPr>
            <w:rFonts w:hint="eastAsia" w:eastAsiaTheme="minorEastAsia"/>
            <w:sz w:val="28"/>
          </w:rPr>
          <w:id w:val="151490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</w:rPr>
        <w:t>是、</w:t>
      </w:r>
      <w:sdt>
        <w:sdtPr>
          <w:rPr>
            <w:rFonts w:hint="eastAsia" w:eastAsiaTheme="minorEastAsia"/>
            <w:sz w:val="28"/>
          </w:rPr>
          <w:id w:val="209450691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</w:rPr>
        <w:t>否</w:t>
      </w:r>
    </w:p>
    <w:p w14:paraId="6807F1D0">
      <w:pPr>
        <w:spacing w:line="288" w:lineRule="auto"/>
        <w:ind w:left="210"/>
        <w:rPr>
          <w:rFonts w:eastAsiaTheme="minorEastAsia"/>
          <w:b/>
          <w:lang w:val="zh-CN"/>
        </w:rPr>
      </w:pPr>
      <w:r>
        <w:rPr>
          <w:rFonts w:hint="eastAsia" w:eastAsiaTheme="minorEastAsia"/>
        </w:rPr>
        <w:t>场地人行出入口到联系公共交通站点的专用接驳车的距离：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  <w:lang w:val="en-US" w:eastAsia="zh-CN"/>
        </w:rPr>
        <w:t>0</w:t>
      </w:r>
      <w:r>
        <w:rPr>
          <w:rFonts w:eastAsiaTheme="minorEastAsia"/>
          <w:kern w:val="0"/>
        </w:rPr>
        <w:t>__</w:t>
      </w:r>
      <w:r>
        <w:rPr>
          <w:rFonts w:hint="eastAsia" w:eastAsiaTheme="minorEastAsia"/>
          <w:kern w:val="0"/>
        </w:rPr>
        <w:t>m</w:t>
      </w:r>
    </w:p>
    <w:p w14:paraId="4EABCD96">
      <w:pPr>
        <w:numPr>
          <w:ilvl w:val="0"/>
          <w:numId w:val="1"/>
        </w:numPr>
        <w:spacing w:before="200" w:line="288" w:lineRule="auto"/>
        <w:rPr>
          <w:rFonts w:cs="宋体" w:eastAsiaTheme="minorEastAsia"/>
          <w:b/>
          <w:bCs/>
          <w:sz w:val="24"/>
          <w:lang w:val="zh-CN"/>
        </w:rPr>
      </w:pPr>
      <w:r>
        <w:rPr>
          <w:rFonts w:hint="eastAsia" w:cs="宋体" w:eastAsiaTheme="minorEastAsia"/>
          <w:b/>
          <w:bCs/>
          <w:sz w:val="24"/>
          <w:lang w:val="zh-CN"/>
        </w:rPr>
        <w:t>证明材料</w:t>
      </w:r>
    </w:p>
    <w:p w14:paraId="00652E4B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7FCC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49C10A8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C5CF2BF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0E41519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0F21F0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5C6A33D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63F5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D932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931C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063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应体现场地步行入口与公共交通站点的有机联系，创造便捷的公共交通使用条件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1D1E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4CEAA613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8706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BB7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AB5B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1BB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场地周边公共交通设施布局示意图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3BDD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应体现场地到达公交站点的步行路线、场地出入口到达公交站点的距离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5BB44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47FDD0F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F881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BFA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7AD8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41D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专用接驳车服务的实施方案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E2154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当项目确因地处新建区暂时无法提供公共交通服务时，应配备专用接驳车联系公共交通站点，以方便建筑使用者利用公交出行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FB8A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80D4550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2EC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237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28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504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公共交通站点或专用接驳车运行的影像资料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0C0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ABA5"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DE0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66C0C2D3"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02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tbl>
            <w:tblPr>
              <w:tblStyle w:val="6"/>
              <w:tblW w:w="8320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36"/>
              <w:gridCol w:w="1999"/>
              <w:gridCol w:w="3608"/>
              <w:gridCol w:w="1181"/>
              <w:gridCol w:w="796"/>
            </w:tblGrid>
            <w:tr w14:paraId="07ABAD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5E4646C1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专业分类</w:t>
                  </w:r>
                </w:p>
              </w:tc>
              <w:tc>
                <w:tcPr>
                  <w:tcW w:w="199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3BC08758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材料名称</w:t>
                  </w:r>
                </w:p>
              </w:tc>
              <w:tc>
                <w:tcPr>
                  <w:tcW w:w="360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6914654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技术要求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7F33960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评价阶段</w:t>
                  </w:r>
                </w:p>
              </w:tc>
              <w:tc>
                <w:tcPr>
                  <w:tcW w:w="7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000000" w:fill="DBE5F1"/>
                  <w:vAlign w:val="center"/>
                </w:tcPr>
                <w:p w14:paraId="0FF9B32F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建筑类型</w:t>
                  </w:r>
                </w:p>
              </w:tc>
            </w:tr>
            <w:tr w14:paraId="56E31B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  <w:jc w:val="center"/>
              </w:trPr>
              <w:tc>
                <w:tcPr>
                  <w:tcW w:w="73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3741A5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规划设计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F898CC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规划设计总平面图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3457B2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应体现场地步行入口与公共交通站点的有机联系，创造便捷的公共交通使用条件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890BAA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  <w:bookmarkStart w:id="0" w:name="_GoBack"/>
                  <w:bookmarkEnd w:id="0"/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067410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2FF78D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  <w:jc w:val="center"/>
              </w:trPr>
              <w:tc>
                <w:tcPr>
                  <w:tcW w:w="73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31E60A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6507E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场地周边公共交通设施布局示意图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4FA090">
                  <w:pPr>
                    <w:widowControl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0"/>
                      <w:szCs w:val="20"/>
                    </w:rPr>
                    <w:t>应体现场地到达公交站点的步行路线、场地出入口到达公交站点的距离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91AE70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预评价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2C10691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  <w:tr w14:paraId="4E6B3B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0" w:hRule="atLeast"/>
                <w:jc w:val="center"/>
              </w:trPr>
              <w:tc>
                <w:tcPr>
                  <w:tcW w:w="73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6F049D">
                  <w:pPr>
                    <w:widowControl/>
                    <w:jc w:val="center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其他材料</w:t>
                  </w:r>
                </w:p>
              </w:tc>
              <w:tc>
                <w:tcPr>
                  <w:tcW w:w="19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297F28">
                  <w:pPr>
                    <w:widowControl/>
                    <w:jc w:val="left"/>
                    <w:rPr>
                      <w:rFonts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公共交通站点或专用接驳车运行的影像资料</w:t>
                  </w:r>
                </w:p>
              </w:tc>
              <w:tc>
                <w:tcPr>
                  <w:tcW w:w="360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1E1EEA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AC9805">
                  <w:pPr>
                    <w:widowControl/>
                    <w:jc w:val="center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运行评价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6BE5E7">
                  <w:pPr>
                    <w:widowControl/>
                    <w:jc w:val="left"/>
                    <w:rPr>
                      <w:rFonts w:cs="宋体" w:eastAsiaTheme="minorEastAsia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cs="宋体" w:eastAsiaTheme="minorEastAsia"/>
                      <w:color w:val="000000"/>
                      <w:kern w:val="0"/>
                      <w:sz w:val="22"/>
                      <w:szCs w:val="22"/>
                    </w:rPr>
                    <w:t>公建</w:t>
                  </w:r>
                </w:p>
              </w:tc>
            </w:tr>
          </w:tbl>
          <w:p w14:paraId="3A87EFE9">
            <w:pPr>
              <w:rPr>
                <w:kern w:val="0"/>
                <w:sz w:val="20"/>
                <w:szCs w:val="21"/>
              </w:rPr>
            </w:pPr>
          </w:p>
        </w:tc>
      </w:tr>
    </w:tbl>
    <w:p w14:paraId="5DEBD302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8E852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E56AB"/>
    <w:multiLevelType w:val="multilevel"/>
    <w:tmpl w:val="16AE56A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DA"/>
    <w:rsid w:val="000236DB"/>
    <w:rsid w:val="00112241"/>
    <w:rsid w:val="00385AAE"/>
    <w:rsid w:val="0060153D"/>
    <w:rsid w:val="00624300"/>
    <w:rsid w:val="006E2A76"/>
    <w:rsid w:val="00736CAD"/>
    <w:rsid w:val="008248F8"/>
    <w:rsid w:val="008C1127"/>
    <w:rsid w:val="0090275F"/>
    <w:rsid w:val="009149CC"/>
    <w:rsid w:val="0096137B"/>
    <w:rsid w:val="00A07CA9"/>
    <w:rsid w:val="00BA1ADA"/>
    <w:rsid w:val="1C4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437</Characters>
  <Lines>3</Lines>
  <Paragraphs>1</Paragraphs>
  <TotalTime>0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2020-06-04T02:11:00Z</dcterms:created>
  <dc:creator>dongYP</dc:creator>
  <cp:lastModifiedBy>清</cp:lastModifiedBy>
  <dcterms:modified xsi:type="dcterms:W3CDTF">2025-03-13T12:18:57Z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eyJoZGlkIjoiMTJkYTM2ODYxNGRkOWUxYzA3NGM4Y2M1ODhjZDcyNjkiLCJ1c2VySWQiOiIxMjU4NTI1MjM2In0=</vt:lpwstr>
  </property>
  <property fmtid="{D5CDD505-2E9C-101B-9397-08002B2CF9AE}" pid="3" name="KSOProductBuildVer">
    <vt:lpwstr>2052-12.1.0.20305</vt:lpwstr>
  </property>
  <property fmtid="{D5CDD505-2E9C-101B-9397-08002B2CF9AE}" pid="4" name="ICV">
    <vt:lpwstr>52D199655D5D4EA6A9F1424E5EEF1C51_12</vt:lpwstr>
  </property>
</Properties>
</file>