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EE3FD">
      <w:pPr>
        <w:pStyle w:val="2"/>
        <w:spacing w:line="288" w:lineRule="auto"/>
        <w:jc w:val="center"/>
        <w:rPr>
          <w:rFonts w:ascii="Times New Roman" w:hAnsi="Times New Roman" w:eastAsiaTheme="minorEastAsia"/>
          <w:sz w:val="22"/>
          <w:szCs w:val="24"/>
        </w:rPr>
      </w:pPr>
      <w:bookmarkStart w:id="0" w:name="_Toc14261611"/>
      <w:r>
        <w:rPr>
          <w:rFonts w:hint="eastAsia" w:ascii="Times New Roman" w:hAnsi="Times New Roman" w:eastAsiaTheme="minorEastAsia"/>
        </w:rPr>
        <w:t>7.1 控制项</w:t>
      </w:r>
      <w:bookmarkEnd w:id="0"/>
    </w:p>
    <w:p w14:paraId="60969E88">
      <w:pPr>
        <w:pStyle w:val="3"/>
        <w:spacing w:line="288" w:lineRule="auto"/>
        <w:rPr>
          <w:rFonts w:ascii="Times New Roman" w:hAnsi="Times New Roman" w:eastAsiaTheme="minorEastAsia"/>
          <w:szCs w:val="24"/>
        </w:rPr>
      </w:pPr>
      <w:r>
        <w:rPr>
          <w:rFonts w:hint="eastAsia" w:ascii="Times New Roman" w:hAnsi="Times New Roman" w:eastAsiaTheme="minorEastAsia"/>
        </w:rPr>
        <w:t>7.1.1应结合场地自然条件和建筑功能需求，对建筑的体形、平面布局、空间尺度、围护结构等进行节能设计，且应符合国家有关节能设计的要求。</w:t>
      </w:r>
    </w:p>
    <w:p w14:paraId="710B1BA3">
      <w:pPr>
        <w:numPr>
          <w:ilvl w:val="0"/>
          <w:numId w:val="1"/>
        </w:numPr>
        <w:spacing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达标自评</w:t>
      </w:r>
    </w:p>
    <w:p w14:paraId="6782B644">
      <w:pPr>
        <w:spacing w:line="288" w:lineRule="auto"/>
        <w:rPr>
          <w:rFonts w:eastAsiaTheme="minorEastAsia"/>
          <w:kern w:val="0"/>
        </w:rPr>
      </w:pPr>
      <w:sdt>
        <w:sdtPr>
          <w:rPr>
            <w:rFonts w:hint="eastAsia" w:eastAsiaTheme="minor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kern w:val="0"/>
        </w:rPr>
        <w:t>达标；</w:t>
      </w:r>
      <w:sdt>
        <w:sdtPr>
          <w:rPr>
            <w:rFonts w:hint="eastAsia" w:eastAsiaTheme="minorEastAsia"/>
            <w:sz w:val="28"/>
          </w:rPr>
          <w:id w:val="-134323741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kern w:val="0"/>
        </w:rPr>
        <w:t>不达标</w:t>
      </w:r>
    </w:p>
    <w:p w14:paraId="021CEAC9"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评价要点</w:t>
      </w:r>
    </w:p>
    <w:p w14:paraId="4D1B3DBB">
      <w:pPr>
        <w:pStyle w:val="21"/>
        <w:numPr>
          <w:ilvl w:val="0"/>
          <w:numId w:val="2"/>
        </w:numPr>
        <w:spacing w:before="100"/>
        <w:ind w:left="632" w:leftChars="100" w:hanging="422" w:hangingChars="200"/>
        <w:rPr>
          <w:rFonts w:eastAsiaTheme="minorEastAsia"/>
        </w:rPr>
      </w:pPr>
      <w:r>
        <w:rPr>
          <w:rFonts w:hint="eastAsia" w:eastAsiaTheme="minorEastAsia"/>
        </w:rPr>
        <w:t>建筑设计参数：</w:t>
      </w:r>
    </w:p>
    <w:tbl>
      <w:tblPr>
        <w:tblStyle w:val="8"/>
        <w:tblW w:w="8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2268"/>
        <w:gridCol w:w="1134"/>
        <w:gridCol w:w="992"/>
        <w:gridCol w:w="1843"/>
      </w:tblGrid>
      <w:tr w14:paraId="5A109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7AD4FB61"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楼栋编号</w:t>
            </w:r>
          </w:p>
        </w:tc>
        <w:tc>
          <w:tcPr>
            <w:tcW w:w="3686" w:type="dxa"/>
            <w:gridSpan w:val="2"/>
            <w:vAlign w:val="center"/>
          </w:tcPr>
          <w:p w14:paraId="1C7FCA0B"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建筑体形</w:t>
            </w:r>
          </w:p>
        </w:tc>
        <w:tc>
          <w:tcPr>
            <w:tcW w:w="1134" w:type="dxa"/>
            <w:vAlign w:val="center"/>
          </w:tcPr>
          <w:p w14:paraId="27174C0D"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建筑朝向</w:t>
            </w:r>
          </w:p>
        </w:tc>
        <w:tc>
          <w:tcPr>
            <w:tcW w:w="2835" w:type="dxa"/>
            <w:gridSpan w:val="2"/>
            <w:vAlign w:val="center"/>
          </w:tcPr>
          <w:p w14:paraId="20319D7E"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窗墙比</w:t>
            </w:r>
          </w:p>
        </w:tc>
      </w:tr>
      <w:tr w14:paraId="47367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13188EB4">
            <w:pPr>
              <w:spacing w:line="288" w:lineRule="auto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 w14:paraId="577C85CE"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sdt>
              <w:sdtPr>
                <w:rPr>
                  <w:rFonts w:hint="eastAsia" w:eastAsiaTheme="minorEastAsia"/>
                  <w:sz w:val="28"/>
                </w:rPr>
                <w:id w:val="153214252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ascii="Wingdings 2" w:hAnsi="Wingdings 2" w:cs="Times New Roman" w:eastAsiaTheme="minorEastAsia"/>
                    <w:kern w:val="2"/>
                    <w:sz w:val="28"/>
                    <w:szCs w:val="24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>条式、</w:t>
            </w:r>
          </w:p>
          <w:p w14:paraId="03F56905"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sdt>
              <w:sdtPr>
                <w:rPr>
                  <w:rFonts w:hint="eastAsia" w:eastAsiaTheme="minorEastAsia"/>
                  <w:sz w:val="28"/>
                </w:rPr>
                <w:id w:val="18226870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>点式</w:t>
            </w:r>
          </w:p>
          <w:p w14:paraId="226D67D3"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体形系数：</w:t>
            </w:r>
          </w:p>
        </w:tc>
        <w:tc>
          <w:tcPr>
            <w:tcW w:w="2268" w:type="dxa"/>
            <w:vAlign w:val="center"/>
          </w:tcPr>
          <w:p w14:paraId="0C86E160"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是否满足国家或地方节能标准：</w:t>
            </w:r>
            <w:sdt>
              <w:sdtPr>
                <w:rPr>
                  <w:rFonts w:hint="eastAsia" w:eastAsiaTheme="minorEastAsia"/>
                  <w:sz w:val="28"/>
                </w:rPr>
                <w:id w:val="-122051110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ascii="Wingdings 2" w:hAnsi="Wingdings 2" w:cs="Times New Roman" w:eastAsiaTheme="minorEastAsia"/>
                    <w:kern w:val="2"/>
                    <w:sz w:val="28"/>
                    <w:szCs w:val="24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 xml:space="preserve">是 </w:t>
            </w:r>
            <w:sdt>
              <w:sdtPr>
                <w:rPr>
                  <w:rFonts w:hint="eastAsia" w:eastAsiaTheme="minorEastAsia"/>
                  <w:sz w:val="28"/>
                </w:rPr>
                <w:id w:val="17028203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>否</w:t>
            </w:r>
          </w:p>
        </w:tc>
        <w:tc>
          <w:tcPr>
            <w:tcW w:w="1134" w:type="dxa"/>
            <w:vAlign w:val="center"/>
          </w:tcPr>
          <w:p w14:paraId="3C4F499F"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E53AF38">
            <w:pPr>
              <w:spacing w:line="288" w:lineRule="auto"/>
              <w:jc w:val="center"/>
              <w:rPr>
                <w:rFonts w:eastAsiaTheme="minorEastAsia"/>
                <w:u w:val="single"/>
              </w:rPr>
            </w:pPr>
            <w:r>
              <w:rPr>
                <w:rFonts w:hint="eastAsia" w:eastAsiaTheme="minorEastAsia"/>
              </w:rPr>
              <w:t>东向</w:t>
            </w:r>
          </w:p>
          <w:p w14:paraId="197735F8">
            <w:pPr>
              <w:spacing w:line="288" w:lineRule="auto"/>
              <w:jc w:val="center"/>
              <w:rPr>
                <w:rFonts w:eastAsiaTheme="minorEastAsia"/>
                <w:u w:val="single"/>
              </w:rPr>
            </w:pPr>
            <w:r>
              <w:rPr>
                <w:rFonts w:hint="eastAsia" w:eastAsiaTheme="minorEastAsia"/>
              </w:rPr>
              <w:t>南向</w:t>
            </w:r>
          </w:p>
          <w:p w14:paraId="69A4C0A1">
            <w:pPr>
              <w:spacing w:line="288" w:lineRule="auto"/>
              <w:jc w:val="center"/>
              <w:rPr>
                <w:rFonts w:eastAsiaTheme="minorEastAsia"/>
                <w:u w:val="single"/>
              </w:rPr>
            </w:pPr>
            <w:r>
              <w:rPr>
                <w:rFonts w:hint="eastAsia" w:eastAsiaTheme="minorEastAsia"/>
              </w:rPr>
              <w:t>西向</w:t>
            </w:r>
          </w:p>
          <w:p w14:paraId="16100944"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</w:rPr>
              <w:t>北向</w:t>
            </w:r>
          </w:p>
        </w:tc>
        <w:tc>
          <w:tcPr>
            <w:tcW w:w="1843" w:type="dxa"/>
            <w:vAlign w:val="center"/>
          </w:tcPr>
          <w:p w14:paraId="0B1CFF88"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是否满足国家或地方节能标准：</w:t>
            </w:r>
          </w:p>
          <w:p w14:paraId="45422414"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sdt>
              <w:sdtPr>
                <w:rPr>
                  <w:rFonts w:hint="eastAsia" w:eastAsiaTheme="minorEastAsia"/>
                  <w:sz w:val="28"/>
                </w:rPr>
                <w:id w:val="-1900745613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ascii="Wingdings 2" w:hAnsi="Wingdings 2" w:cs="Times New Roman" w:eastAsiaTheme="minorEastAsia"/>
                    <w:kern w:val="2"/>
                    <w:sz w:val="28"/>
                    <w:szCs w:val="24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 xml:space="preserve">是 </w:t>
            </w:r>
            <w:sdt>
              <w:sdtPr>
                <w:rPr>
                  <w:rFonts w:hint="eastAsia" w:eastAsiaTheme="minorEastAsia"/>
                  <w:sz w:val="28"/>
                </w:rPr>
                <w:id w:val="160691659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>否</w:t>
            </w:r>
          </w:p>
        </w:tc>
      </w:tr>
      <w:tr w14:paraId="73529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270A78E8">
            <w:pPr>
              <w:spacing w:line="288" w:lineRule="auto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 w14:paraId="27C4FE27"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sdt>
              <w:sdtPr>
                <w:rPr>
                  <w:rFonts w:hint="eastAsia" w:eastAsiaTheme="minorEastAsia"/>
                  <w:sz w:val="28"/>
                </w:rPr>
                <w:id w:val="-127446930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ascii="Wingdings 2" w:hAnsi="Wingdings 2" w:cs="Times New Roman" w:eastAsiaTheme="minorEastAsia"/>
                    <w:kern w:val="2"/>
                    <w:sz w:val="28"/>
                    <w:szCs w:val="24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>条式、</w:t>
            </w:r>
          </w:p>
          <w:p w14:paraId="5FE66144"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sdt>
              <w:sdtPr>
                <w:rPr>
                  <w:rFonts w:hint="eastAsia" w:eastAsiaTheme="minorEastAsia"/>
                  <w:sz w:val="28"/>
                </w:rPr>
                <w:id w:val="-163586428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>点式</w:t>
            </w:r>
          </w:p>
          <w:p w14:paraId="46EA29BE"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体形系数：</w:t>
            </w:r>
          </w:p>
        </w:tc>
        <w:tc>
          <w:tcPr>
            <w:tcW w:w="2268" w:type="dxa"/>
            <w:vAlign w:val="center"/>
          </w:tcPr>
          <w:p w14:paraId="64CDB5C7"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是否满足国家或地方节能标准：</w:t>
            </w:r>
            <w:sdt>
              <w:sdtPr>
                <w:rPr>
                  <w:rFonts w:hint="eastAsia" w:eastAsiaTheme="minorEastAsia"/>
                  <w:sz w:val="28"/>
                </w:rPr>
                <w:id w:val="52314076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ascii="Wingdings 2" w:hAnsi="Wingdings 2" w:cs="Times New Roman" w:eastAsiaTheme="minorEastAsia"/>
                    <w:kern w:val="2"/>
                    <w:sz w:val="28"/>
                    <w:szCs w:val="24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 xml:space="preserve">是 </w:t>
            </w:r>
            <w:sdt>
              <w:sdtPr>
                <w:rPr>
                  <w:rFonts w:hint="eastAsia" w:eastAsiaTheme="minorEastAsia"/>
                  <w:sz w:val="28"/>
                </w:rPr>
                <w:id w:val="126966402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>否</w:t>
            </w:r>
          </w:p>
        </w:tc>
        <w:tc>
          <w:tcPr>
            <w:tcW w:w="1134" w:type="dxa"/>
            <w:vAlign w:val="center"/>
          </w:tcPr>
          <w:p w14:paraId="775714EE"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F86557D">
            <w:pPr>
              <w:spacing w:line="288" w:lineRule="auto"/>
              <w:jc w:val="center"/>
              <w:rPr>
                <w:rFonts w:eastAsiaTheme="minorEastAsia"/>
                <w:u w:val="single"/>
              </w:rPr>
            </w:pPr>
            <w:r>
              <w:rPr>
                <w:rFonts w:hint="eastAsia" w:eastAsiaTheme="minorEastAsia"/>
              </w:rPr>
              <w:t>东向</w:t>
            </w:r>
          </w:p>
          <w:p w14:paraId="57E7F934">
            <w:pPr>
              <w:spacing w:line="288" w:lineRule="auto"/>
              <w:jc w:val="center"/>
              <w:rPr>
                <w:rFonts w:eastAsiaTheme="minorEastAsia"/>
                <w:u w:val="single"/>
              </w:rPr>
            </w:pPr>
            <w:r>
              <w:rPr>
                <w:rFonts w:hint="eastAsia" w:eastAsiaTheme="minorEastAsia"/>
              </w:rPr>
              <w:t>南向</w:t>
            </w:r>
          </w:p>
          <w:p w14:paraId="3D8DDDFD">
            <w:pPr>
              <w:spacing w:line="288" w:lineRule="auto"/>
              <w:jc w:val="center"/>
              <w:rPr>
                <w:rFonts w:eastAsiaTheme="minorEastAsia"/>
                <w:u w:val="single"/>
              </w:rPr>
            </w:pPr>
            <w:r>
              <w:rPr>
                <w:rFonts w:hint="eastAsia" w:eastAsiaTheme="minorEastAsia"/>
              </w:rPr>
              <w:t>西向</w:t>
            </w:r>
          </w:p>
          <w:p w14:paraId="11374069"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</w:rPr>
              <w:t>北向</w:t>
            </w:r>
          </w:p>
        </w:tc>
        <w:tc>
          <w:tcPr>
            <w:tcW w:w="1843" w:type="dxa"/>
            <w:vAlign w:val="center"/>
          </w:tcPr>
          <w:p w14:paraId="0111E98D"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是否满足国家或地方节能标准：</w:t>
            </w:r>
          </w:p>
          <w:p w14:paraId="0B619F59"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sdt>
              <w:sdtPr>
                <w:rPr>
                  <w:rFonts w:hint="eastAsia" w:eastAsiaTheme="minorEastAsia"/>
                  <w:sz w:val="28"/>
                </w:rPr>
                <w:id w:val="-21505222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ascii="Wingdings 2" w:hAnsi="Wingdings 2" w:cs="Times New Roman" w:eastAsiaTheme="minorEastAsia"/>
                    <w:kern w:val="2"/>
                    <w:sz w:val="28"/>
                    <w:szCs w:val="24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 xml:space="preserve">是 </w:t>
            </w:r>
            <w:sdt>
              <w:sdtPr>
                <w:rPr>
                  <w:rFonts w:hint="eastAsia" w:eastAsiaTheme="minorEastAsia"/>
                  <w:sz w:val="28"/>
                </w:rPr>
                <w:id w:val="100563635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>否</w:t>
            </w:r>
          </w:p>
        </w:tc>
      </w:tr>
      <w:tr w14:paraId="17929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1919B9F7">
            <w:pPr>
              <w:spacing w:line="288" w:lineRule="auto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 w14:paraId="73BEB895"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sdt>
              <w:sdtPr>
                <w:rPr>
                  <w:rFonts w:hint="eastAsia" w:eastAsiaTheme="minorEastAsia"/>
                  <w:sz w:val="28"/>
                </w:rPr>
                <w:id w:val="119379867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ascii="Wingdings 2" w:hAnsi="Wingdings 2" w:cs="Times New Roman" w:eastAsiaTheme="minorEastAsia"/>
                    <w:kern w:val="2"/>
                    <w:sz w:val="28"/>
                    <w:szCs w:val="24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>条式、</w:t>
            </w:r>
          </w:p>
          <w:p w14:paraId="194C66DC"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sdt>
              <w:sdtPr>
                <w:rPr>
                  <w:rFonts w:hint="eastAsia" w:eastAsiaTheme="minorEastAsia"/>
                  <w:sz w:val="28"/>
                </w:rPr>
                <w:id w:val="-24203275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>点式</w:t>
            </w:r>
          </w:p>
          <w:p w14:paraId="23DAD3D7"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体形系数：</w:t>
            </w:r>
          </w:p>
        </w:tc>
        <w:tc>
          <w:tcPr>
            <w:tcW w:w="2268" w:type="dxa"/>
            <w:vAlign w:val="center"/>
          </w:tcPr>
          <w:p w14:paraId="62241CD6"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是否满足国家或地方节能标准：</w:t>
            </w:r>
            <w:sdt>
              <w:sdtPr>
                <w:rPr>
                  <w:rFonts w:hint="eastAsia" w:eastAsiaTheme="minorEastAsia"/>
                  <w:sz w:val="28"/>
                </w:rPr>
                <w:id w:val="-80654828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ascii="Wingdings 2" w:hAnsi="Wingdings 2" w:cs="Times New Roman" w:eastAsiaTheme="minorEastAsia"/>
                    <w:kern w:val="2"/>
                    <w:sz w:val="28"/>
                    <w:szCs w:val="24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 xml:space="preserve">是 </w:t>
            </w:r>
            <w:sdt>
              <w:sdtPr>
                <w:rPr>
                  <w:rFonts w:hint="eastAsia" w:eastAsiaTheme="minorEastAsia"/>
                  <w:sz w:val="28"/>
                </w:rPr>
                <w:id w:val="125917895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>否</w:t>
            </w:r>
          </w:p>
        </w:tc>
        <w:tc>
          <w:tcPr>
            <w:tcW w:w="1134" w:type="dxa"/>
            <w:vAlign w:val="center"/>
          </w:tcPr>
          <w:p w14:paraId="78A349C4"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2F171CA">
            <w:pPr>
              <w:spacing w:line="288" w:lineRule="auto"/>
              <w:jc w:val="center"/>
              <w:rPr>
                <w:rFonts w:eastAsiaTheme="minorEastAsia"/>
                <w:u w:val="single"/>
              </w:rPr>
            </w:pPr>
            <w:r>
              <w:rPr>
                <w:rFonts w:hint="eastAsia" w:eastAsiaTheme="minorEastAsia"/>
              </w:rPr>
              <w:t>东向</w:t>
            </w:r>
          </w:p>
          <w:p w14:paraId="2069BC77">
            <w:pPr>
              <w:spacing w:line="288" w:lineRule="auto"/>
              <w:jc w:val="center"/>
              <w:rPr>
                <w:rFonts w:eastAsiaTheme="minorEastAsia"/>
                <w:u w:val="single"/>
              </w:rPr>
            </w:pPr>
            <w:r>
              <w:rPr>
                <w:rFonts w:hint="eastAsia" w:eastAsiaTheme="minorEastAsia"/>
              </w:rPr>
              <w:t>南向</w:t>
            </w:r>
          </w:p>
          <w:p w14:paraId="2F6F4D57">
            <w:pPr>
              <w:spacing w:line="288" w:lineRule="auto"/>
              <w:jc w:val="center"/>
              <w:rPr>
                <w:rFonts w:eastAsiaTheme="minorEastAsia"/>
                <w:u w:val="single"/>
              </w:rPr>
            </w:pPr>
            <w:r>
              <w:rPr>
                <w:rFonts w:hint="eastAsia" w:eastAsiaTheme="minorEastAsia"/>
              </w:rPr>
              <w:t>西向</w:t>
            </w:r>
          </w:p>
          <w:p w14:paraId="4309A5BE"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</w:rPr>
              <w:t>北向</w:t>
            </w:r>
          </w:p>
        </w:tc>
        <w:tc>
          <w:tcPr>
            <w:tcW w:w="1843" w:type="dxa"/>
            <w:vAlign w:val="center"/>
          </w:tcPr>
          <w:p w14:paraId="33933DA0"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是否满足国家或地方节能标准：</w:t>
            </w:r>
          </w:p>
          <w:p w14:paraId="19415ED9"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sdt>
              <w:sdtPr>
                <w:rPr>
                  <w:rFonts w:hint="eastAsia" w:eastAsiaTheme="minorEastAsia"/>
                  <w:sz w:val="28"/>
                </w:rPr>
                <w:id w:val="83449474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ascii="Wingdings 2" w:hAnsi="Wingdings 2" w:cs="Times New Roman" w:eastAsiaTheme="minorEastAsia"/>
                    <w:kern w:val="2"/>
                    <w:sz w:val="28"/>
                    <w:szCs w:val="24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 xml:space="preserve">是 </w:t>
            </w:r>
            <w:sdt>
              <w:sdtPr>
                <w:rPr>
                  <w:rFonts w:hint="eastAsia" w:eastAsiaTheme="minorEastAsia"/>
                  <w:sz w:val="28"/>
                </w:rPr>
                <w:id w:val="186540277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>否</w:t>
            </w:r>
          </w:p>
        </w:tc>
      </w:tr>
    </w:tbl>
    <w:p w14:paraId="16EC71D2">
      <w:pPr>
        <w:spacing w:before="100" w:line="288" w:lineRule="auto"/>
        <w:rPr>
          <w:rFonts w:eastAsiaTheme="minorEastAsia"/>
        </w:rPr>
      </w:pPr>
      <w:r>
        <w:rPr>
          <w:rFonts w:hint="eastAsia" w:eastAsiaTheme="minorEastAsia"/>
        </w:rPr>
        <w:t>建筑的楼间距最小是</w:t>
      </w:r>
      <w:r>
        <w:rPr>
          <w:rFonts w:eastAsiaTheme="minorEastAsia"/>
          <w:lang w:val="zh-CN"/>
        </w:rPr>
        <w:t>__</w:t>
      </w:r>
      <w:r>
        <w:rPr>
          <w:rFonts w:hint="eastAsia" w:eastAsiaTheme="minorEastAsia"/>
          <w:lang w:val="en-US" w:eastAsia="zh-CN"/>
        </w:rPr>
        <w:t>2</w:t>
      </w:r>
      <w:r>
        <w:rPr>
          <w:rFonts w:eastAsiaTheme="minorEastAsia"/>
          <w:u w:val="single"/>
          <w:lang w:val="zh-CN"/>
        </w:rPr>
        <w:t>__</w:t>
      </w:r>
      <w:r>
        <w:rPr>
          <w:rFonts w:hint="eastAsia" w:eastAsiaTheme="minorEastAsia"/>
        </w:rPr>
        <w:t>和</w:t>
      </w:r>
      <w:r>
        <w:rPr>
          <w:rFonts w:eastAsiaTheme="minorEastAsia"/>
          <w:lang w:val="zh-CN"/>
        </w:rPr>
        <w:t>__</w:t>
      </w:r>
      <w:r>
        <w:rPr>
          <w:rFonts w:hint="eastAsia" w:eastAsiaTheme="minorEastAsia"/>
          <w:lang w:val="en-US" w:eastAsia="zh-CN"/>
        </w:rPr>
        <w:t>3</w:t>
      </w:r>
      <w:r>
        <w:rPr>
          <w:rFonts w:eastAsiaTheme="minorEastAsia"/>
          <w:u w:val="single"/>
          <w:lang w:val="zh-CN"/>
        </w:rPr>
        <w:t>__</w:t>
      </w:r>
      <w:r>
        <w:rPr>
          <w:rFonts w:hint="eastAsia" w:eastAsiaTheme="minorEastAsia"/>
        </w:rPr>
        <w:t>之间，距离为</w:t>
      </w:r>
      <w:r>
        <w:rPr>
          <w:rFonts w:eastAsiaTheme="minorEastAsia"/>
          <w:lang w:val="zh-CN"/>
        </w:rPr>
        <w:t>__</w:t>
      </w:r>
      <w:r>
        <w:rPr>
          <w:rFonts w:hint="eastAsia" w:eastAsiaTheme="minorEastAsia"/>
          <w:lang w:val="en-US" w:eastAsia="zh-CN"/>
        </w:rPr>
        <w:t>40</w:t>
      </w:r>
      <w:r>
        <w:rPr>
          <w:rFonts w:eastAsiaTheme="minorEastAsia"/>
          <w:u w:val="single"/>
          <w:lang w:val="zh-CN"/>
        </w:rPr>
        <w:t>_</w:t>
      </w:r>
      <w:r>
        <w:rPr>
          <w:rFonts w:eastAsiaTheme="minorEastAsia"/>
        </w:rPr>
        <w:t>m</w:t>
      </w:r>
      <w:r>
        <w:rPr>
          <w:rFonts w:hint="eastAsia" w:eastAsiaTheme="minorEastAsia"/>
        </w:rPr>
        <w:t>。</w:t>
      </w:r>
    </w:p>
    <w:p w14:paraId="3F693B47">
      <w:pPr>
        <w:pStyle w:val="20"/>
        <w:spacing w:line="288" w:lineRule="auto"/>
        <w:ind w:firstLine="0" w:firstLineChars="0"/>
        <w:rPr>
          <w:rFonts w:cs="宋体" w:eastAsiaTheme="minorEastAsia"/>
        </w:rPr>
      </w:pPr>
      <w:r>
        <w:rPr>
          <w:rFonts w:hint="eastAsia" w:cs="宋体" w:eastAsiaTheme="minorEastAsia"/>
        </w:rPr>
        <w:t>简要说明对建筑体形、朝向、楼距、窗墙比等进行的优化设计：</w:t>
      </w:r>
    </w:p>
    <w:p w14:paraId="25CBE8DF">
      <w:pPr>
        <w:pStyle w:val="20"/>
        <w:spacing w:before="100" w:line="288" w:lineRule="auto"/>
        <w:ind w:firstLine="0" w:firstLineChars="0"/>
        <w:rPr>
          <w:rFonts w:eastAsiaTheme="minorEastAsia"/>
        </w:rPr>
      </w:pPr>
      <w:r>
        <w:rPr>
          <w:rFonts w:eastAsiaTheme="minorEastAsia"/>
        </w:rPr>
        <w:t>1</w:t>
      </w:r>
      <w:r>
        <w:rPr>
          <w:rFonts w:hint="eastAsia" w:cs="宋体" w:eastAsiaTheme="minorEastAsia"/>
        </w:rPr>
        <w:t>、概述项目所在地气候条件特点，在建筑朝向、布局设计时如何考虑冬季获得足够的日照，避开主导风向，夏季利用自然通风，降低太阳辐射影响及防止暴风雨袭击等。（</w:t>
      </w:r>
      <w:r>
        <w:rPr>
          <w:rFonts w:eastAsiaTheme="minorEastAsia"/>
        </w:rPr>
        <w:t>150</w:t>
      </w:r>
      <w:r>
        <w:rPr>
          <w:rFonts w:hint="eastAsia" w:cs="宋体" w:eastAsiaTheme="minorEastAsia"/>
        </w:rPr>
        <w:t>字以内）</w:t>
      </w:r>
    </w:p>
    <w:tbl>
      <w:tblPr>
        <w:tblStyle w:val="8"/>
        <w:tblW w:w="8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 w14:paraId="11E65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1B2C1">
            <w:pPr>
              <w:pStyle w:val="7"/>
              <w:keepNext w:val="0"/>
              <w:keepLines w:val="0"/>
              <w:widowControl/>
              <w:suppressLineNumbers w:val="0"/>
            </w:pPr>
            <w:r>
              <w:t>河南省</w:t>
            </w:r>
            <w:r>
              <w:rPr>
                <w:rFonts w:hint="eastAsia"/>
                <w:lang w:eastAsia="zh-CN"/>
              </w:rPr>
              <w:t>，</w:t>
            </w:r>
            <w:r>
              <w:t>温带季风气候，主导风向一般为冬季北风，夏季则为东南风。</w:t>
            </w:r>
          </w:p>
          <w:p w14:paraId="67D3E859">
            <w:pPr>
              <w:pStyle w:val="7"/>
              <w:keepNext w:val="0"/>
              <w:keepLines w:val="0"/>
              <w:widowControl/>
              <w:suppressLineNumbers w:val="0"/>
            </w:pPr>
            <w:r>
              <w:t>建筑朝向应尽量朝南</w:t>
            </w:r>
            <w:r>
              <w:rPr>
                <w:rFonts w:hint="eastAsia"/>
                <w:lang w:eastAsia="zh-CN"/>
              </w:rPr>
              <w:t>。</w:t>
            </w:r>
            <w:r>
              <w:t>建筑物的窗户面积要适当增大，以充分利用冬季日照。建筑的主要开口应避免朝北，并设置遮挡物</w:t>
            </w:r>
            <w:r>
              <w:rPr>
                <w:rFonts w:hint="eastAsia"/>
                <w:lang w:eastAsia="zh-CN"/>
              </w:rPr>
              <w:t>。</w:t>
            </w:r>
            <w:r>
              <w:t>通过合理的开窗布局，利用东南风的主导方向。</w:t>
            </w:r>
          </w:p>
          <w:p w14:paraId="3C0CD261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eastAsia="宋体"/>
                <w:lang w:eastAsia="zh-CN"/>
              </w:rPr>
            </w:pPr>
            <w:r>
              <w:t>在建筑外立面使用遮阳设计</w:t>
            </w:r>
            <w:r>
              <w:rPr>
                <w:rFonts w:hint="eastAsia"/>
                <w:lang w:eastAsia="zh-CN"/>
              </w:rPr>
              <w:t>。</w:t>
            </w:r>
          </w:p>
          <w:p w14:paraId="652F1D63">
            <w:pPr>
              <w:pStyle w:val="7"/>
              <w:keepNext w:val="0"/>
              <w:keepLines w:val="0"/>
              <w:widowControl/>
              <w:suppressLineNumbers w:val="0"/>
              <w:rPr>
                <w:rFonts w:eastAsiaTheme="minorEastAsia"/>
              </w:rPr>
            </w:pPr>
            <w:r>
              <w:t>加强屋顶和外墙的抗风设计</w:t>
            </w:r>
            <w:r>
              <w:rPr>
                <w:rFonts w:hint="eastAsia"/>
                <w:lang w:eastAsia="zh-CN"/>
              </w:rPr>
              <w:t>，</w:t>
            </w:r>
            <w:r>
              <w:t>设置排水系统。</w:t>
            </w:r>
          </w:p>
        </w:tc>
      </w:tr>
    </w:tbl>
    <w:p w14:paraId="1CE01A4B">
      <w:pPr>
        <w:pStyle w:val="17"/>
        <w:spacing w:before="100" w:line="288" w:lineRule="auto"/>
        <w:outlineLvl w:val="9"/>
        <w:rPr>
          <w:rFonts w:eastAsiaTheme="minorEastAsia"/>
          <w:sz w:val="21"/>
          <w:szCs w:val="21"/>
        </w:rPr>
      </w:pPr>
      <w:r>
        <w:rPr>
          <w:rFonts w:eastAsiaTheme="minorEastAsia"/>
          <w:sz w:val="21"/>
          <w:szCs w:val="21"/>
        </w:rPr>
        <w:t>2</w:t>
      </w:r>
      <w:r>
        <w:rPr>
          <w:rFonts w:hint="eastAsia" w:cs="宋体" w:eastAsiaTheme="minorEastAsia"/>
          <w:sz w:val="21"/>
          <w:szCs w:val="21"/>
        </w:rPr>
        <w:t>、概述自然通风效果优化模拟计算结论（</w:t>
      </w:r>
      <w:r>
        <w:rPr>
          <w:rFonts w:eastAsiaTheme="minorEastAsia"/>
          <w:sz w:val="21"/>
          <w:szCs w:val="21"/>
        </w:rPr>
        <w:t>100</w:t>
      </w:r>
      <w:r>
        <w:rPr>
          <w:rFonts w:hint="eastAsia" w:cs="宋体" w:eastAsiaTheme="minorEastAsia"/>
          <w:sz w:val="21"/>
          <w:szCs w:val="21"/>
        </w:rPr>
        <w:t>字以内）</w:t>
      </w:r>
    </w:p>
    <w:tbl>
      <w:tblPr>
        <w:tblStyle w:val="8"/>
        <w:tblW w:w="8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 w14:paraId="2F7C4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A844A">
            <w:pPr>
              <w:pStyle w:val="4"/>
              <w:spacing w:line="288" w:lineRule="auto"/>
              <w:ind w:firstLine="420"/>
              <w:rPr>
                <w:rFonts w:hint="eastAsia" w:ascii="Times New Roman" w:hAnsi="Times New Roman" w:eastAsia="宋体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建筑设计中的室内外风压差符合河南绿色建筑标准要求。模拟分析显示，建筑外立面和窗户布置合理，能够有效引导主导风向，促进室内空气流动。风压差分布均匀，有效降低了能源消耗，提升了室内空气质量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</w:tbl>
    <w:p w14:paraId="6CC35E0F">
      <w:pPr>
        <w:pStyle w:val="17"/>
        <w:spacing w:before="100" w:line="288" w:lineRule="auto"/>
        <w:jc w:val="left"/>
        <w:outlineLvl w:val="9"/>
        <w:rPr>
          <w:rFonts w:eastAsiaTheme="minorEastAsia"/>
          <w:sz w:val="21"/>
          <w:szCs w:val="21"/>
        </w:rPr>
      </w:pPr>
      <w:r>
        <w:rPr>
          <w:rFonts w:eastAsiaTheme="minorEastAsia"/>
          <w:sz w:val="21"/>
          <w:szCs w:val="21"/>
        </w:rPr>
        <w:t>3</w:t>
      </w:r>
      <w:r>
        <w:rPr>
          <w:rFonts w:hint="eastAsia" w:cs="宋体" w:eastAsiaTheme="minorEastAsia"/>
          <w:sz w:val="21"/>
          <w:szCs w:val="21"/>
        </w:rPr>
        <w:t>、概述自然采光效果优化模拟计算结论（</w:t>
      </w:r>
      <w:r>
        <w:rPr>
          <w:rFonts w:eastAsiaTheme="minorEastAsia"/>
          <w:sz w:val="21"/>
          <w:szCs w:val="21"/>
        </w:rPr>
        <w:t>100</w:t>
      </w:r>
      <w:r>
        <w:rPr>
          <w:rFonts w:hint="eastAsia" w:cs="宋体" w:eastAsiaTheme="minorEastAsia"/>
          <w:sz w:val="21"/>
          <w:szCs w:val="21"/>
        </w:rPr>
        <w:t>字以内）</w:t>
      </w:r>
    </w:p>
    <w:tbl>
      <w:tblPr>
        <w:tblStyle w:val="8"/>
        <w:tblW w:w="8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 w14:paraId="3C214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7BF80">
            <w:pPr>
              <w:pStyle w:val="17"/>
              <w:spacing w:line="288" w:lineRule="auto"/>
              <w:ind w:firstLine="480" w:firstLineChars="200"/>
              <w:outlineLvl w:val="9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果表明室内采光水平达到河南绿色建筑标准要求。计算显示，建筑的窗户设计和开口布局能够有效引入自然光，确保室内各功能区的采光均匀性。同时，模拟结果表明炫光情况得到有效控制，避免了过度阳光照射带来的不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</w:tc>
      </w:tr>
    </w:tbl>
    <w:p w14:paraId="29205E8E"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证明材料</w:t>
      </w:r>
    </w:p>
    <w:p w14:paraId="0E01997E"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8"/>
        <w:tblW w:w="8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33"/>
        <w:gridCol w:w="4266"/>
        <w:gridCol w:w="1191"/>
        <w:gridCol w:w="851"/>
      </w:tblGrid>
      <w:tr w14:paraId="2C280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9" w:type="dxa"/>
            <w:shd w:val="clear" w:color="DBE5F1" w:fill="DBE5F1"/>
            <w:noWrap/>
            <w:vAlign w:val="center"/>
          </w:tcPr>
          <w:p w14:paraId="30ED419F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433" w:type="dxa"/>
            <w:shd w:val="clear" w:color="DBE5F1" w:fill="DBE5F1"/>
            <w:vAlign w:val="center"/>
          </w:tcPr>
          <w:p w14:paraId="1B020056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266" w:type="dxa"/>
            <w:shd w:val="clear" w:color="DBE5F1" w:fill="DBE5F1"/>
            <w:vAlign w:val="center"/>
          </w:tcPr>
          <w:p w14:paraId="5A621A72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shd w:val="clear" w:color="DBE5F1" w:fill="DBE5F1"/>
            <w:noWrap/>
            <w:vAlign w:val="center"/>
          </w:tcPr>
          <w:p w14:paraId="08621517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51" w:type="dxa"/>
            <w:shd w:val="clear" w:color="DBE5F1" w:fill="DBE5F1"/>
            <w:noWrap/>
            <w:vAlign w:val="center"/>
          </w:tcPr>
          <w:p w14:paraId="1A475028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14:paraId="03156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63649812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649FFF2C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建筑总平面图</w:t>
            </w:r>
          </w:p>
        </w:tc>
        <w:tc>
          <w:tcPr>
            <w:tcW w:w="426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512F63FE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应标明清晰的红线，以及能反映本地块与周边地块及建筑的空间相邻关系，包括建筑的使用功能、距离、高度等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49C0097A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70611CFF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86BE7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067F7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0DDDEE8F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755F49E1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建筑设计说明</w:t>
            </w:r>
          </w:p>
        </w:tc>
        <w:tc>
          <w:tcPr>
            <w:tcW w:w="42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182F922D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应包括对建筑总平面设计原则的简要阐述，以及对朝向、体形系数、窗墙比的具体说明，并与图纸吻合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4E5001D3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4BAFB85E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E4183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4B192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0F94C493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04EB49CD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建筑立面图</w:t>
            </w:r>
          </w:p>
        </w:tc>
        <w:tc>
          <w:tcPr>
            <w:tcW w:w="42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2750C2A9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应体现建筑的窗墙比并与建筑设计说明吻合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5F2034B9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2B02B8FA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50B0F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47B78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2313395C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2AFF591F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建筑效果图</w:t>
            </w:r>
          </w:p>
        </w:tc>
        <w:tc>
          <w:tcPr>
            <w:tcW w:w="42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68AD1FC0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应包括建筑鸟瞰图、单体效果图，反映建筑的窗墙比并与说明吻合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108689D2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4464E5FA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97B91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5F182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3F6A5C64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0F431D40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建筑优化设计报告</w:t>
            </w:r>
          </w:p>
        </w:tc>
        <w:tc>
          <w:tcPr>
            <w:tcW w:w="426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0C7D9352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住宅建筑如建筑体形、楼间距、窗墙比不满足要求，或公共建筑窗墙比不低于0.5，需提供建筑优化设计报告，包括对建筑体形、朝向、楼距、窗墙比的优化设计（包括节能设计目标、设计思路、设计效果及有关模拟分析报告，模拟报告应对模拟计算的计算模型、初始条件、计算参数、计算结果进行详细说明）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260DEA29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5C73E684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33206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 w14:paraId="0337442E"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2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018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9356" w:type="dxa"/>
          </w:tcPr>
          <w:tbl>
            <w:tblPr>
              <w:tblStyle w:val="8"/>
              <w:tblW w:w="836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6" w:space="0"/>
                <w:insideV w:val="single" w:color="auto" w:sz="6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98"/>
              <w:gridCol w:w="1408"/>
              <w:gridCol w:w="4181"/>
              <w:gridCol w:w="1171"/>
              <w:gridCol w:w="838"/>
            </w:tblGrid>
            <w:tr w14:paraId="77F91E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09" w:type="dxa"/>
                  <w:shd w:val="clear" w:color="DBE5F1" w:fill="DBE5F1"/>
                  <w:noWrap/>
                  <w:vAlign w:val="center"/>
                </w:tcPr>
                <w:p w14:paraId="73F88EFB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专业分类</w:t>
                  </w:r>
                </w:p>
              </w:tc>
              <w:tc>
                <w:tcPr>
                  <w:tcW w:w="1433" w:type="dxa"/>
                  <w:shd w:val="clear" w:color="DBE5F1" w:fill="DBE5F1"/>
                  <w:vAlign w:val="center"/>
                </w:tcPr>
                <w:p w14:paraId="50B92212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材料名称</w:t>
                  </w:r>
                </w:p>
              </w:tc>
              <w:tc>
                <w:tcPr>
                  <w:tcW w:w="4266" w:type="dxa"/>
                  <w:shd w:val="clear" w:color="DBE5F1" w:fill="DBE5F1"/>
                  <w:vAlign w:val="center"/>
                </w:tcPr>
                <w:p w14:paraId="4C6589C9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技术要求</w:t>
                  </w:r>
                </w:p>
              </w:tc>
              <w:tc>
                <w:tcPr>
                  <w:tcW w:w="1191" w:type="dxa"/>
                  <w:shd w:val="clear" w:color="DBE5F1" w:fill="DBE5F1"/>
                  <w:noWrap/>
                  <w:vAlign w:val="center"/>
                </w:tcPr>
                <w:p w14:paraId="3A04732D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评价阶段</w:t>
                  </w:r>
                </w:p>
              </w:tc>
              <w:tc>
                <w:tcPr>
                  <w:tcW w:w="851" w:type="dxa"/>
                  <w:shd w:val="clear" w:color="DBE5F1" w:fill="DBE5F1"/>
                  <w:noWrap/>
                  <w:vAlign w:val="center"/>
                </w:tcPr>
                <w:p w14:paraId="6F7C3DDE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建筑类型</w:t>
                  </w:r>
                </w:p>
              </w:tc>
            </w:tr>
            <w:tr w14:paraId="272F96E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0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6" w:space="0"/>
                  </w:tcBorders>
                  <w:shd w:val="clear" w:color="auto" w:fill="auto"/>
                  <w:noWrap/>
                  <w:vAlign w:val="center"/>
                </w:tcPr>
                <w:p w14:paraId="26B2ECD0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建筑设计</w:t>
                  </w:r>
                </w:p>
              </w:tc>
              <w:tc>
                <w:tcPr>
                  <w:tcW w:w="1433" w:type="dxa"/>
                  <w:tcBorders>
                    <w:top w:val="single" w:color="auto" w:sz="4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noWrap/>
                  <w:vAlign w:val="center"/>
                </w:tcPr>
                <w:p w14:paraId="18B9E180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建筑总平面图</w:t>
                  </w:r>
                </w:p>
              </w:tc>
              <w:tc>
                <w:tcPr>
                  <w:tcW w:w="4266" w:type="dxa"/>
                  <w:tcBorders>
                    <w:top w:val="single" w:color="auto" w:sz="4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noWrap/>
                  <w:vAlign w:val="center"/>
                </w:tcPr>
                <w:p w14:paraId="31FDDB01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应标明清晰的红线，以及能反映本地块与周边地块及建筑的空间相邻关系，包括建筑的使用功能、距离、高度等</w:t>
                  </w: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noWrap/>
                  <w:vAlign w:val="center"/>
                </w:tcPr>
                <w:p w14:paraId="1D76CA62">
                  <w:pPr>
                    <w:widowControl/>
                    <w:jc w:val="center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预评价/</w:t>
                  </w:r>
                </w:p>
                <w:p w14:paraId="512C939F">
                  <w:pPr>
                    <w:widowControl/>
                    <w:jc w:val="center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评价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5B38473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居建/公建</w:t>
                  </w:r>
                </w:p>
              </w:tc>
            </w:tr>
            <w:tr w14:paraId="09DB61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09" w:type="dxa"/>
                  <w:vMerge w:val="continue"/>
                  <w:tcBorders>
                    <w:left w:val="single" w:color="auto" w:sz="4" w:space="0"/>
                    <w:right w:val="single" w:color="auto" w:sz="6" w:space="0"/>
                  </w:tcBorders>
                  <w:shd w:val="clear" w:color="auto" w:fill="auto"/>
                  <w:noWrap/>
                  <w:vAlign w:val="center"/>
                </w:tcPr>
                <w:p w14:paraId="27DC1066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43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noWrap/>
                  <w:vAlign w:val="center"/>
                </w:tcPr>
                <w:p w14:paraId="3E8FCD5E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建筑设计说明</w:t>
                  </w:r>
                </w:p>
              </w:tc>
              <w:tc>
                <w:tcPr>
                  <w:tcW w:w="4266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noWrap/>
                  <w:vAlign w:val="center"/>
                </w:tcPr>
                <w:p w14:paraId="70253963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应包括对建筑总平面设计原则的简要阐述，以及对朝向、体形系数、窗墙比的具体说明，并与图纸吻合</w:t>
                  </w:r>
                </w:p>
              </w:tc>
              <w:tc>
                <w:tcPr>
                  <w:tcW w:w="110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noWrap/>
                  <w:vAlign w:val="center"/>
                </w:tcPr>
                <w:p w14:paraId="35D78D48">
                  <w:pPr>
                    <w:widowControl/>
                    <w:jc w:val="center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预评价/</w:t>
                  </w:r>
                </w:p>
                <w:p w14:paraId="6C6ABCF6">
                  <w:pPr>
                    <w:widowControl/>
                    <w:jc w:val="center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评价</w:t>
                  </w:r>
                </w:p>
              </w:tc>
              <w:tc>
                <w:tcPr>
                  <w:tcW w:w="85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EE17342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居建/公建</w:t>
                  </w:r>
                </w:p>
              </w:tc>
            </w:tr>
            <w:tr w14:paraId="0352AA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09" w:type="dxa"/>
                  <w:vMerge w:val="continue"/>
                  <w:tcBorders>
                    <w:left w:val="single" w:color="auto" w:sz="4" w:space="0"/>
                    <w:right w:val="single" w:color="auto" w:sz="6" w:space="0"/>
                  </w:tcBorders>
                  <w:shd w:val="clear" w:color="auto" w:fill="auto"/>
                  <w:noWrap/>
                  <w:vAlign w:val="center"/>
                </w:tcPr>
                <w:p w14:paraId="6D1AAA02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43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noWrap/>
                  <w:vAlign w:val="center"/>
                </w:tcPr>
                <w:p w14:paraId="5B478583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建筑立面图</w:t>
                  </w:r>
                </w:p>
              </w:tc>
              <w:tc>
                <w:tcPr>
                  <w:tcW w:w="4266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noWrap/>
                  <w:vAlign w:val="center"/>
                </w:tcPr>
                <w:p w14:paraId="2744CA3C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应体现建筑的窗墙比并与建筑设计说明吻合</w:t>
                  </w:r>
                </w:p>
              </w:tc>
              <w:tc>
                <w:tcPr>
                  <w:tcW w:w="110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noWrap/>
                  <w:vAlign w:val="center"/>
                </w:tcPr>
                <w:p w14:paraId="084073B4">
                  <w:pPr>
                    <w:widowControl/>
                    <w:jc w:val="center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预评价/</w:t>
                  </w:r>
                </w:p>
                <w:p w14:paraId="6952863A">
                  <w:pPr>
                    <w:widowControl/>
                    <w:jc w:val="center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评价</w:t>
                  </w:r>
                </w:p>
              </w:tc>
              <w:tc>
                <w:tcPr>
                  <w:tcW w:w="85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F66B739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居建/公建</w:t>
                  </w:r>
                </w:p>
              </w:tc>
            </w:tr>
            <w:tr w14:paraId="498B2F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09" w:type="dxa"/>
                  <w:vMerge w:val="continue"/>
                  <w:tcBorders>
                    <w:left w:val="single" w:color="auto" w:sz="4" w:space="0"/>
                    <w:right w:val="single" w:color="auto" w:sz="6" w:space="0"/>
                  </w:tcBorders>
                  <w:shd w:val="clear" w:color="auto" w:fill="auto"/>
                  <w:noWrap/>
                  <w:vAlign w:val="center"/>
                </w:tcPr>
                <w:p w14:paraId="463750ED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43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noWrap/>
                  <w:vAlign w:val="center"/>
                </w:tcPr>
                <w:p w14:paraId="6033D781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建筑效果图</w:t>
                  </w:r>
                </w:p>
              </w:tc>
              <w:tc>
                <w:tcPr>
                  <w:tcW w:w="4266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noWrap/>
                  <w:vAlign w:val="center"/>
                </w:tcPr>
                <w:p w14:paraId="3B644EA6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应包括建筑鸟瞰图、单体效果图，反映建筑的窗墙比并与说明吻合</w:t>
                  </w:r>
                </w:p>
              </w:tc>
              <w:tc>
                <w:tcPr>
                  <w:tcW w:w="110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noWrap/>
                  <w:vAlign w:val="center"/>
                </w:tcPr>
                <w:p w14:paraId="59EFA6D0">
                  <w:pPr>
                    <w:widowControl/>
                    <w:jc w:val="center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预评价/</w:t>
                  </w:r>
                </w:p>
                <w:p w14:paraId="02032096">
                  <w:pPr>
                    <w:widowControl/>
                    <w:jc w:val="center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评价</w:t>
                  </w:r>
                </w:p>
              </w:tc>
              <w:tc>
                <w:tcPr>
                  <w:tcW w:w="85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40E479C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居建/公建</w:t>
                  </w:r>
                </w:p>
              </w:tc>
            </w:tr>
            <w:tr w14:paraId="54A6A95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09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6" w:space="0"/>
                  </w:tcBorders>
                  <w:shd w:val="clear" w:color="auto" w:fill="auto"/>
                  <w:noWrap/>
                  <w:vAlign w:val="center"/>
                </w:tcPr>
                <w:p w14:paraId="640F0D05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433" w:type="dxa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shd w:val="clear" w:color="auto" w:fill="auto"/>
                  <w:noWrap/>
                  <w:vAlign w:val="center"/>
                </w:tcPr>
                <w:p w14:paraId="3A426054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建筑优化设计报告</w:t>
                  </w:r>
                </w:p>
              </w:tc>
              <w:tc>
                <w:tcPr>
                  <w:tcW w:w="4266" w:type="dxa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shd w:val="clear" w:color="auto" w:fill="auto"/>
                  <w:noWrap/>
                  <w:vAlign w:val="center"/>
                </w:tcPr>
                <w:p w14:paraId="27C60DA4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住宅建筑如建筑体形、楼间距、窗墙比不满足要求，或公共建筑窗墙比不低于0.5，需提供建筑优化设计报告，包括对建筑体形、朝向、楼距、窗墙比的优化设计（包括节能设计目标、设计思路、设计效果及有关模拟分析报告，模拟报告应对模拟计算的计算模型、初始条件、计算参数、计算结果进行详细说明）</w:t>
                  </w:r>
                </w:p>
              </w:tc>
              <w:tc>
                <w:tcPr>
                  <w:tcW w:w="1105" w:type="dxa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shd w:val="clear" w:color="auto" w:fill="auto"/>
                  <w:noWrap/>
                  <w:vAlign w:val="center"/>
                </w:tcPr>
                <w:p w14:paraId="67FD21A9">
                  <w:pPr>
                    <w:widowControl/>
                    <w:jc w:val="center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预评价/</w:t>
                  </w:r>
                </w:p>
                <w:p w14:paraId="450518E6">
                  <w:pPr>
                    <w:widowControl/>
                    <w:jc w:val="center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评价</w:t>
                  </w:r>
                </w:p>
              </w:tc>
              <w:tc>
                <w:tcPr>
                  <w:tcW w:w="851" w:type="dxa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D97BCF3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居建/公建</w:t>
                  </w:r>
                </w:p>
              </w:tc>
            </w:tr>
          </w:tbl>
          <w:p w14:paraId="7DE8435B">
            <w:pPr>
              <w:rPr>
                <w:kern w:val="0"/>
                <w:sz w:val="20"/>
                <w:szCs w:val="21"/>
              </w:rPr>
            </w:pPr>
            <w:bookmarkStart w:id="1" w:name="_GoBack"/>
            <w:bookmarkEnd w:id="1"/>
          </w:p>
        </w:tc>
      </w:tr>
    </w:tbl>
    <w:p w14:paraId="05C45A3B"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AF985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5B4A77"/>
    <w:multiLevelType w:val="multilevel"/>
    <w:tmpl w:val="385B4A77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E0"/>
    <w:rsid w:val="000E1AE5"/>
    <w:rsid w:val="003A1497"/>
    <w:rsid w:val="003B6737"/>
    <w:rsid w:val="004B4C67"/>
    <w:rsid w:val="004C6BB6"/>
    <w:rsid w:val="006B16A5"/>
    <w:rsid w:val="006E2A76"/>
    <w:rsid w:val="007F4F30"/>
    <w:rsid w:val="009268F7"/>
    <w:rsid w:val="009A19C5"/>
    <w:rsid w:val="00B075E0"/>
    <w:rsid w:val="00C62BC7"/>
    <w:rsid w:val="00D951D0"/>
    <w:rsid w:val="00EF40E8"/>
    <w:rsid w:val="1E1176E2"/>
    <w:rsid w:val="3664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3">
    <w:name w:val="heading 3"/>
    <w:basedOn w:val="2"/>
    <w:next w:val="1"/>
    <w:link w:val="15"/>
    <w:qFormat/>
    <w:uiPriority w:val="0"/>
    <w:pPr>
      <w:outlineLvl w:val="2"/>
    </w:p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8"/>
    <w:uiPriority w:val="0"/>
    <w:pPr>
      <w:spacing w:line="400" w:lineRule="exact"/>
      <w:ind w:firstLine="480" w:firstLineChars="200"/>
    </w:pPr>
    <w:rPr>
      <w:rFonts w:ascii="微软雅黑" w:hAnsi="微软雅黑" w:eastAsia="微软雅黑"/>
      <w:sz w:val="24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customStyle="1" w:styleId="12">
    <w:name w:val="页眉 Char"/>
    <w:basedOn w:val="10"/>
    <w:link w:val="6"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uiPriority w:val="99"/>
    <w:rPr>
      <w:sz w:val="18"/>
      <w:szCs w:val="18"/>
    </w:rPr>
  </w:style>
  <w:style w:type="character" w:customStyle="1" w:styleId="14">
    <w:name w:val="标题 2 Char"/>
    <w:basedOn w:val="10"/>
    <w:link w:val="2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5">
    <w:name w:val="标题 3 Char"/>
    <w:basedOn w:val="10"/>
    <w:link w:val="3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6">
    <w:name w:val="条文 Char"/>
    <w:link w:val="17"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7">
    <w:name w:val="条文"/>
    <w:basedOn w:val="1"/>
    <w:link w:val="16"/>
    <w:uiPriority w:val="99"/>
    <w:pPr>
      <w:spacing w:line="300" w:lineRule="auto"/>
      <w:outlineLvl w:val="2"/>
    </w:pPr>
    <w:rPr>
      <w:sz w:val="24"/>
    </w:rPr>
  </w:style>
  <w:style w:type="character" w:customStyle="1" w:styleId="18">
    <w:name w:val="正文文本缩进 Char"/>
    <w:link w:val="4"/>
    <w:uiPriority w:val="0"/>
    <w:rPr>
      <w:rFonts w:ascii="微软雅黑" w:hAnsi="微软雅黑" w:eastAsia="微软雅黑" w:cs="Times New Roman"/>
      <w:sz w:val="24"/>
      <w:szCs w:val="24"/>
    </w:rPr>
  </w:style>
  <w:style w:type="character" w:customStyle="1" w:styleId="19">
    <w:name w:val="正文文本缩进 Char1"/>
    <w:basedOn w:val="10"/>
    <w:semiHidden/>
    <w:uiPriority w:val="99"/>
    <w:rPr>
      <w:rFonts w:ascii="Times New Roman" w:hAnsi="Times New Roman" w:eastAsia="宋体" w:cs="Times New Roman"/>
      <w:szCs w:val="24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paragraph" w:customStyle="1" w:styleId="21">
    <w:name w:val="技术要点"/>
    <w:basedOn w:val="22"/>
    <w:qFormat/>
    <w:uiPriority w:val="0"/>
    <w:pPr>
      <w:spacing w:line="288" w:lineRule="auto"/>
      <w:ind w:left="790" w:firstLine="0" w:firstLineChars="0"/>
    </w:pPr>
    <w:rPr>
      <w:b/>
      <w:szCs w:val="21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table" w:customStyle="1" w:styleId="23">
    <w:name w:val="网格型1"/>
    <w:basedOn w:val="8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860</Words>
  <Characters>884</Characters>
  <Lines>7</Lines>
  <Paragraphs>2</Paragraphs>
  <TotalTime>0</TotalTime>
  <ScaleCrop>false</ScaleCrop>
  <LinksUpToDate>false</LinksUpToDate>
  <CharactersWithSpaces>891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2020-06-04T02:17:00Z</dcterms:created>
  <dc:creator>dongYP</dc:creator>
  <cp:lastModifiedBy>清</cp:lastModifiedBy>
  <dcterms:modified xsi:type="dcterms:W3CDTF">2025-03-13T12:41:42Z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eyJoZGlkIjoiMTJkYTM2ODYxNGRkOWUxYzA3NGM4Y2M1ODhjZDcyNjkiLCJ1c2VySWQiOiIxMjU4NTI1MjM2In0=</vt:lpwstr>
  </property>
  <property fmtid="{D5CDD505-2E9C-101B-9397-08002B2CF9AE}" pid="3" name="KSOProductBuildVer">
    <vt:lpwstr>2052-12.1.0.20305</vt:lpwstr>
  </property>
  <property fmtid="{D5CDD505-2E9C-101B-9397-08002B2CF9AE}" pid="4" name="ICV">
    <vt:lpwstr>7A93EE861CCC497D8BF82AC8494D17B7_12</vt:lpwstr>
  </property>
</Properties>
</file>