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瓷韵空间——非遗文脉传承背景下的绿色低碳陶瓷产业博览文化综合体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项目名称：瓷韵空间——非遗文脉传承背景下的绿色低碳陶瓷产业博览文化综合体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围护结构提高10.06%或负荷降低3.21%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26.7%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应用比例82.63%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全寿命期单位建筑面积碳排放强为34.94kgCO2/（m2·a）减碳率22.29%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