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ascii="宋体" w:hAnsi="宋体"/>
          <w:b/>
          <w:bCs/>
          <w:kern w:val="2"/>
          <w:sz w:val="30"/>
          <w:szCs w:val="24"/>
          <w:lang w:val="en-US"/>
        </w:rPr>
      </w:pPr>
      <w:bookmarkStart w:id="70" w:name="_GoBack"/>
      <w:bookmarkEnd w:id="70"/>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社区图书馆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广东-广州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t>2024-01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t>XX开发商</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2024年12月27日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9" w:name="软件版本"/>
            <w:r>
              <w:rPr>
                <w:rFonts w:ascii="宋体" w:hAnsi="宋体"/>
                <w:szCs w:val="21"/>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10" w:name="加密锁号"/>
            <w:r>
              <w:t>T13322736241</w:t>
            </w:r>
            <w:bookmarkEnd w:id="10"/>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_Toc27445 </w:instrText>
      </w:r>
      <w:r>
        <w:rPr>
          <w:rFonts w:ascii="宋体" w:hAnsi="宋体"/>
          <w:bCs w:val="0"/>
          <w:caps/>
        </w:rPr>
        <w:fldChar w:fldCharType="separate"/>
      </w:r>
      <w:r>
        <w:rPr>
          <w:rFonts w:hint="eastAsia"/>
        </w:rPr>
        <w:t>1 项目概况</w:t>
      </w:r>
      <w:r>
        <w:tab/>
      </w:r>
      <w:r>
        <w:fldChar w:fldCharType="begin"/>
      </w:r>
      <w:r>
        <w:instrText xml:space="preserve"> PAGEREF _Toc27445 \h </w:instrText>
      </w:r>
      <w:r>
        <w:fldChar w:fldCharType="separate"/>
      </w:r>
      <w:r>
        <w:t>3</w:t>
      </w:r>
      <w:r>
        <w:fldChar w:fldCharType="end"/>
      </w:r>
      <w:r>
        <w:rPr>
          <w:rFonts w:ascii="宋体" w:hAnsi="宋体"/>
          <w:bCs w:val="0"/>
          <w:caps/>
        </w:rPr>
        <w:fldChar w:fldCharType="end"/>
      </w:r>
    </w:p>
    <w:p>
      <w:pPr>
        <w:pStyle w:val="20"/>
        <w:tabs>
          <w:tab w:val="right" w:leader="dot" w:pos="8930"/>
          <w:tab w:val="clear" w:pos="540"/>
          <w:tab w:val="clear" w:pos="840"/>
          <w:tab w:val="clear" w:pos="9360"/>
        </w:tabs>
      </w:pPr>
      <w:r>
        <w:fldChar w:fldCharType="begin"/>
      </w:r>
      <w:r>
        <w:instrText xml:space="preserve"> HYPERLINK \l _Toc16809 </w:instrText>
      </w:r>
      <w:r>
        <w:fldChar w:fldCharType="separate"/>
      </w:r>
      <w:r>
        <w:rPr>
          <w:rFonts w:hint="eastAsia"/>
          <w:lang w:val="en-GB"/>
        </w:rPr>
        <w:t xml:space="preserve">1.1 </w:t>
      </w:r>
      <w:r>
        <w:t>平面图</w:t>
      </w:r>
      <w:r>
        <w:tab/>
      </w:r>
      <w:r>
        <w:fldChar w:fldCharType="begin"/>
      </w:r>
      <w:r>
        <w:instrText xml:space="preserve"> PAGEREF _Toc16809 \h </w:instrText>
      </w:r>
      <w:r>
        <w:fldChar w:fldCharType="separate"/>
      </w:r>
      <w:r>
        <w:t>4</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_Toc24614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_Toc24614 \h </w:instrText>
      </w:r>
      <w:r>
        <w:fldChar w:fldCharType="separate"/>
      </w:r>
      <w:r>
        <w:t>10</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_Toc2454 </w:instrText>
      </w:r>
      <w:r>
        <w:fldChar w:fldCharType="separate"/>
      </w:r>
      <w:r>
        <w:rPr>
          <w:rFonts w:hint="eastAsia"/>
        </w:rPr>
        <w:t>2 计算</w:t>
      </w:r>
      <w:r>
        <w:t>依据</w:t>
      </w:r>
      <w:r>
        <w:tab/>
      </w:r>
      <w:r>
        <w:fldChar w:fldCharType="begin"/>
      </w:r>
      <w:r>
        <w:instrText xml:space="preserve"> PAGEREF _Toc2454 \h </w:instrText>
      </w:r>
      <w:r>
        <w:fldChar w:fldCharType="separate"/>
      </w:r>
      <w:r>
        <w:t>11</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_Toc32572 </w:instrText>
      </w:r>
      <w:r>
        <w:fldChar w:fldCharType="separate"/>
      </w:r>
      <w:r>
        <w:rPr>
          <w:rFonts w:hint="eastAsia"/>
        </w:rPr>
        <w:t>3 参考</w:t>
      </w:r>
      <w:r>
        <w:t>标准</w:t>
      </w:r>
      <w:r>
        <w:tab/>
      </w:r>
      <w:r>
        <w:fldChar w:fldCharType="begin"/>
      </w:r>
      <w:r>
        <w:instrText xml:space="preserve"> PAGEREF _Toc32572 \h </w:instrText>
      </w:r>
      <w:r>
        <w:fldChar w:fldCharType="separate"/>
      </w:r>
      <w:r>
        <w:t>11</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_Toc1622 </w:instrText>
      </w:r>
      <w:r>
        <w:fldChar w:fldCharType="separate"/>
      </w:r>
      <w:r>
        <w:rPr>
          <w:rFonts w:hint="eastAsia"/>
        </w:rPr>
        <w:t>4 计算方法</w:t>
      </w:r>
      <w:r>
        <w:tab/>
      </w:r>
      <w:r>
        <w:fldChar w:fldCharType="begin"/>
      </w:r>
      <w:r>
        <w:instrText xml:space="preserve"> PAGEREF _Toc1622 \h </w:instrText>
      </w:r>
      <w:r>
        <w:fldChar w:fldCharType="separate"/>
      </w:r>
      <w:r>
        <w:t>11</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_Toc16150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_Toc16150 \h </w:instrText>
      </w:r>
      <w:r>
        <w:fldChar w:fldCharType="separate"/>
      </w:r>
      <w:r>
        <w:t>11</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_Toc22560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_Toc22560 \h </w:instrText>
      </w:r>
      <w:r>
        <w:fldChar w:fldCharType="separate"/>
      </w:r>
      <w:r>
        <w:t>11</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_Toc31444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_Toc31444 \h </w:instrText>
      </w:r>
      <w:r>
        <w:fldChar w:fldCharType="separate"/>
      </w:r>
      <w:r>
        <w:t>12</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_Toc25140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_Toc25140 \h </w:instrText>
      </w:r>
      <w:r>
        <w:fldChar w:fldCharType="separate"/>
      </w:r>
      <w:r>
        <w:t>12</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_Toc13008 </w:instrText>
      </w:r>
      <w:r>
        <w:fldChar w:fldCharType="separate"/>
      </w:r>
      <w:r>
        <w:rPr>
          <w:rFonts w:hint="eastAsia"/>
          <w:lang w:val="en-GB"/>
        </w:rPr>
        <w:t xml:space="preserve">4.2 </w:t>
      </w:r>
      <w:r>
        <w:rPr>
          <w:rFonts w:hint="eastAsia"/>
        </w:rPr>
        <w:t>热湿环境评价</w:t>
      </w:r>
      <w:r>
        <w:t>指标</w:t>
      </w:r>
      <w:r>
        <w:rPr>
          <w:rFonts w:hint="eastAsia"/>
        </w:rPr>
        <w:t>计算</w:t>
      </w:r>
      <w:r>
        <w:tab/>
      </w:r>
      <w:r>
        <w:fldChar w:fldCharType="begin"/>
      </w:r>
      <w:r>
        <w:instrText xml:space="preserve"> PAGEREF _Toc13008 \h </w:instrText>
      </w:r>
      <w:r>
        <w:fldChar w:fldCharType="separate"/>
      </w:r>
      <w:r>
        <w:t>13</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_Toc3380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_Toc3380 \h </w:instrText>
      </w:r>
      <w:r>
        <w:fldChar w:fldCharType="separate"/>
      </w:r>
      <w:r>
        <w:t>14</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_Toc14352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_Toc14352 \h </w:instrText>
      </w:r>
      <w:r>
        <w:fldChar w:fldCharType="separate"/>
      </w:r>
      <w:r>
        <w:t>14</w:t>
      </w:r>
      <w:r>
        <w:fldChar w:fldCharType="end"/>
      </w:r>
      <w:r>
        <w:fldChar w:fldCharType="end"/>
      </w:r>
    </w:p>
    <w:p>
      <w:pPr>
        <w:pStyle w:val="15"/>
        <w:tabs>
          <w:tab w:val="right" w:leader="dot" w:pos="8930"/>
          <w:tab w:val="clear" w:pos="900"/>
          <w:tab w:val="clear" w:pos="1260"/>
          <w:tab w:val="clear" w:pos="9360"/>
        </w:tabs>
      </w:pPr>
      <w:r>
        <w:fldChar w:fldCharType="begin"/>
      </w:r>
      <w:r>
        <w:instrText xml:space="preserve"> HYPERLINK \l _Toc27987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_Toc27987 \h </w:instrText>
      </w:r>
      <w:r>
        <w:fldChar w:fldCharType="separate"/>
      </w:r>
      <w:r>
        <w:t>15</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_Toc16436 </w:instrText>
      </w:r>
      <w:r>
        <w:fldChar w:fldCharType="separate"/>
      </w:r>
      <w:r>
        <w:rPr>
          <w:rFonts w:hint="eastAsia"/>
        </w:rPr>
        <w:t>5 结果</w:t>
      </w:r>
      <w:r>
        <w:t>分析</w:t>
      </w:r>
      <w:r>
        <w:tab/>
      </w:r>
      <w:r>
        <w:fldChar w:fldCharType="begin"/>
      </w:r>
      <w:r>
        <w:instrText xml:space="preserve"> PAGEREF _Toc16436 \h </w:instrText>
      </w:r>
      <w:r>
        <w:fldChar w:fldCharType="separate"/>
      </w:r>
      <w:r>
        <w:t>15</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_Toc29443 </w:instrText>
      </w:r>
      <w:r>
        <w:fldChar w:fldCharType="separate"/>
      </w:r>
      <w:r>
        <w:rPr>
          <w:rFonts w:hint="eastAsia"/>
          <w:lang w:val="en-GB"/>
        </w:rPr>
        <w:t xml:space="preserve">5.1 </w:t>
      </w:r>
      <w:r>
        <w:t>1层-房间1001分析图</w:t>
      </w:r>
      <w:r>
        <w:tab/>
      </w:r>
      <w:r>
        <w:fldChar w:fldCharType="begin"/>
      </w:r>
      <w:r>
        <w:instrText xml:space="preserve"> PAGEREF _Toc29443 \h </w:instrText>
      </w:r>
      <w:r>
        <w:fldChar w:fldCharType="separate"/>
      </w:r>
      <w:r>
        <w:t>16</w:t>
      </w:r>
      <w:r>
        <w:fldChar w:fldCharType="end"/>
      </w:r>
      <w:r>
        <w:fldChar w:fldCharType="end"/>
      </w:r>
    </w:p>
    <w:p>
      <w:pPr>
        <w:pStyle w:val="20"/>
        <w:tabs>
          <w:tab w:val="right" w:leader="dot" w:pos="8930"/>
          <w:tab w:val="clear" w:pos="540"/>
          <w:tab w:val="clear" w:pos="840"/>
          <w:tab w:val="clear" w:pos="9360"/>
        </w:tabs>
      </w:pPr>
      <w:r>
        <w:fldChar w:fldCharType="begin"/>
      </w:r>
      <w:r>
        <w:instrText xml:space="preserve"> HYPERLINK \l _Toc3570 </w:instrText>
      </w:r>
      <w:r>
        <w:fldChar w:fldCharType="separate"/>
      </w:r>
      <w:r>
        <w:rPr>
          <w:rFonts w:hint="eastAsia"/>
          <w:lang w:val="en-GB"/>
        </w:rPr>
        <w:t xml:space="preserve">5.2 </w:t>
      </w:r>
      <w:r>
        <w:rPr>
          <w:rFonts w:hint="eastAsia"/>
        </w:rPr>
        <w:t>室内PMV与PPD达标比例统计</w:t>
      </w:r>
      <w:r>
        <w:tab/>
      </w:r>
      <w:r>
        <w:fldChar w:fldCharType="begin"/>
      </w:r>
      <w:r>
        <w:instrText xml:space="preserve"> PAGEREF _Toc3570 \h </w:instrText>
      </w:r>
      <w:r>
        <w:fldChar w:fldCharType="separate"/>
      </w:r>
      <w:r>
        <w:t>18</w:t>
      </w:r>
      <w:r>
        <w:fldChar w:fldCharType="end"/>
      </w:r>
      <w:r>
        <w:fldChar w:fldCharType="end"/>
      </w:r>
    </w:p>
    <w:p>
      <w:pPr>
        <w:pStyle w:val="19"/>
        <w:tabs>
          <w:tab w:val="right" w:leader="dot" w:pos="8930"/>
          <w:tab w:val="clear" w:pos="180"/>
          <w:tab w:val="clear" w:pos="420"/>
          <w:tab w:val="clear" w:pos="9360"/>
        </w:tabs>
      </w:pPr>
      <w:r>
        <w:fldChar w:fldCharType="begin"/>
      </w:r>
      <w:r>
        <w:instrText xml:space="preserve"> HYPERLINK \l _Toc16900 </w:instrText>
      </w:r>
      <w:r>
        <w:fldChar w:fldCharType="separate"/>
      </w:r>
      <w:r>
        <w:rPr>
          <w:rFonts w:hint="eastAsia"/>
        </w:rPr>
        <w:t>6 结论</w:t>
      </w:r>
      <w:r>
        <w:tab/>
      </w:r>
      <w:r>
        <w:fldChar w:fldCharType="begin"/>
      </w:r>
      <w:r>
        <w:instrText xml:space="preserve"> PAGEREF _Toc16900 \h </w:instrText>
      </w:r>
      <w:r>
        <w:fldChar w:fldCharType="separate"/>
      </w:r>
      <w:r>
        <w:t>18</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pPr>
        <w:pStyle w:val="2"/>
      </w:pPr>
      <w:bookmarkStart w:id="12" w:name="_Toc452108759"/>
      <w:bookmarkStart w:id="13" w:name="_Toc27445"/>
      <w:r>
        <w:rPr>
          <w:rFonts w:hint="eastAsia"/>
        </w:rPr>
        <w:t>项目概况</w:t>
      </w:r>
      <w:bookmarkEnd w:id="12"/>
      <w:bookmarkEnd w:id="13"/>
    </w:p>
    <w:p>
      <w:pPr>
        <w:pStyle w:val="3"/>
        <w:ind w:firstLine="420"/>
        <w:rPr>
          <w:lang w:val="en-US"/>
        </w:rPr>
      </w:pPr>
      <w:bookmarkStart w:id="14" w:name="项目概况"/>
      <w:bookmarkEnd w:id="14"/>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5" w:name="_Toc452108760"/>
      <w:bookmarkStart w:id="16" w:name="_Toc16809"/>
      <w:bookmarkStart w:id="17" w:name="平面图2"/>
      <w:r>
        <w:t>平面图</w:t>
      </w:r>
      <w:bookmarkEnd w:id="15"/>
      <w:bookmarkEnd w:id="16"/>
    </w:p>
    <w:p>
      <w:pPr>
        <w:pStyle w:val="3"/>
        <w:ind w:firstLine="0" w:firstLineChars="0"/>
        <w:jc w:val="center"/>
        <w:rPr>
          <w:lang w:val="en-US"/>
        </w:rPr>
      </w:pPr>
      <w:bookmarkStart w:id="18" w:name="平面图"/>
      <w:bookmarkEnd w:id="18"/>
      <w:r>
        <w:drawing>
          <wp:inline distT="0" distB="0" distL="0" distR="0">
            <wp:extent cx="4305300" cy="80105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4305300" cy="801052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667375" cy="62960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5667375" cy="62960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4867275" cy="80105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2"/>
                    <a:stretch>
                      <a:fillRect/>
                    </a:stretch>
                  </pic:blipFill>
                  <pic:spPr>
                    <a:xfrm>
                      <a:off x="0" y="0"/>
                      <a:ext cx="4867275" cy="801052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391150" cy="80105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3"/>
                    <a:stretch>
                      <a:fillRect/>
                    </a:stretch>
                  </pic:blipFill>
                  <pic:spPr>
                    <a:xfrm>
                      <a:off x="0" y="0"/>
                      <a:ext cx="5391150" cy="801052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drawing>
          <wp:inline distT="0" distB="0" distL="0" distR="0">
            <wp:extent cx="5476875" cy="8010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4"/>
                    <a:stretch>
                      <a:fillRect/>
                    </a:stretch>
                  </pic:blipFill>
                  <pic:spPr>
                    <a:xfrm>
                      <a:off x="0" y="0"/>
                      <a:ext cx="5476875" cy="8010525"/>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drawing>
          <wp:inline distT="0" distB="0" distL="0" distR="0">
            <wp:extent cx="5229225" cy="80105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5"/>
                    <a:stretch>
                      <a:fillRect/>
                    </a:stretch>
                  </pic:blipFill>
                  <pic:spPr>
                    <a:xfrm>
                      <a:off x="0" y="0"/>
                      <a:ext cx="5229225" cy="8010525"/>
                    </a:xfrm>
                    <a:prstGeom prst="rect">
                      <a:avLst/>
                    </a:prstGeom>
                  </pic:spPr>
                </pic:pic>
              </a:graphicData>
            </a:graphic>
          </wp:inline>
        </w:drawing>
      </w:r>
    </w:p>
    <w:p>
      <w:pPr>
        <w:pStyle w:val="3"/>
        <w:ind w:firstLine="0" w:firstLineChars="0"/>
        <w:jc w:val="center"/>
        <w:rPr>
          <w:lang w:val="en-US"/>
        </w:rPr>
      </w:pPr>
      <w:r>
        <w:rPr>
          <w:lang w:val="en-US"/>
        </w:rPr>
        <w:t>4层平面</w:t>
      </w:r>
    </w:p>
    <w:p>
      <w:pPr>
        <w:pStyle w:val="3"/>
        <w:ind w:firstLine="0" w:firstLineChars="0"/>
        <w:jc w:val="center"/>
        <w:rPr>
          <w:lang w:val="en-US"/>
        </w:rPr>
      </w:pPr>
    </w:p>
    <w:bookmarkEnd w:id="17"/>
    <w:p>
      <w:pPr>
        <w:pStyle w:val="3"/>
        <w:ind w:firstLine="0" w:firstLineChars="0"/>
        <w:jc w:val="center"/>
        <w:rPr>
          <w:lang w:val="en-US"/>
        </w:rPr>
      </w:pPr>
    </w:p>
    <w:p>
      <w:pPr>
        <w:pStyle w:val="4"/>
      </w:pPr>
      <w:bookmarkStart w:id="19" w:name="_Toc452108761"/>
      <w:bookmarkStart w:id="20" w:name="_Toc24614"/>
      <w:r>
        <w:rPr>
          <w:rFonts w:hint="eastAsia"/>
        </w:rPr>
        <w:t>三</w:t>
      </w:r>
      <w:r>
        <w:t>维视图</w:t>
      </w:r>
      <w:bookmarkEnd w:id="19"/>
      <w:bookmarkEnd w:id="20"/>
    </w:p>
    <w:p>
      <w:pPr>
        <w:pStyle w:val="3"/>
        <w:ind w:firstLine="0" w:firstLineChars="0"/>
        <w:jc w:val="center"/>
        <w:rPr>
          <w:lang w:val="en-US"/>
        </w:rPr>
      </w:pPr>
      <w:bookmarkStart w:id="21" w:name="模型观察"/>
      <w:bookmarkStart w:id="22" w:name="三维视图"/>
      <w:r>
        <w:t>请先在【模型观察】命令中保存图片</w:t>
      </w:r>
      <w:bookmarkEnd w:id="21"/>
      <w:bookmarkEnd w:id="22"/>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3" w:name="TitleFormat"/>
      <w:bookmarkStart w:id="24" w:name="_Toc452108762"/>
      <w:bookmarkStart w:id="25" w:name="_Toc2454"/>
      <w:r>
        <w:rPr>
          <w:rFonts w:hint="eastAsia"/>
        </w:rPr>
        <w:t>计算</w:t>
      </w:r>
      <w:r>
        <w:t>依据</w:t>
      </w:r>
      <w:bookmarkEnd w:id="23"/>
      <w:bookmarkEnd w:id="24"/>
      <w:bookmarkEnd w:id="25"/>
    </w:p>
    <w:p>
      <w:pPr>
        <w:pStyle w:val="3"/>
        <w:ind w:firstLine="199" w:firstLineChars="95"/>
        <w:rPr>
          <w:lang w:val="en-US"/>
        </w:rPr>
      </w:pPr>
      <w:bookmarkStart w:id="26" w:name="_Toc452108763"/>
      <w:r>
        <w:rPr>
          <w:rFonts w:hint="eastAsia"/>
          <w:lang w:val="en-US"/>
        </w:rPr>
        <w:t>本项目主要参照资料为：</w:t>
      </w:r>
    </w:p>
    <w:p>
      <w:pPr>
        <w:pStyle w:val="3"/>
        <w:numPr>
          <w:ilvl w:val="0"/>
          <w:numId w:val="2"/>
        </w:numPr>
        <w:ind w:left="0" w:firstLine="200" w:firstLineChars="0"/>
        <w:rPr>
          <w:lang w:val="en-US"/>
        </w:rPr>
      </w:pPr>
      <w:bookmarkStart w:id="27" w:name="参考标准名称1"/>
      <w:r>
        <w:rPr>
          <w:rFonts w:hint="eastAsia"/>
          <w:lang w:val="en-US"/>
        </w:rPr>
        <w:t>《绿色建筑评价标准》GB/T50378-2019</w:t>
      </w:r>
      <w:bookmarkEnd w:id="27"/>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8"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8"/>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9" w:name="_Hlk13516321"/>
    </w:p>
    <w:bookmarkEnd w:id="29"/>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30" w:name="_Toc32572"/>
      <w:r>
        <w:rPr>
          <w:rFonts w:hint="eastAsia"/>
        </w:rPr>
        <w:t>参考</w:t>
      </w:r>
      <w:r>
        <w:t>标准</w:t>
      </w:r>
      <w:bookmarkEnd w:id="26"/>
      <w:bookmarkEnd w:id="30"/>
    </w:p>
    <w:p>
      <w:pPr>
        <w:pStyle w:val="3"/>
        <w:ind w:firstLine="420"/>
        <w:rPr>
          <w:lang w:val="en-US"/>
        </w:rPr>
      </w:pPr>
      <w:bookmarkStart w:id="31" w:name="_Toc451698935"/>
      <w:bookmarkStart w:id="32" w:name="_Toc452108764"/>
      <w:r>
        <w:rPr>
          <w:rFonts w:hint="eastAsia"/>
          <w:lang w:val="en-US"/>
        </w:rPr>
        <w:t>室内热湿环境评价的主要依据为</w:t>
      </w:r>
      <w:bookmarkStart w:id="33" w:name="参考标准名称2"/>
      <w:r>
        <w:rPr>
          <w:rFonts w:hint="eastAsia"/>
          <w:lang w:val="en-US"/>
        </w:rPr>
        <w:t>《绿色建筑评价标准》GB/T50378-2019</w:t>
      </w:r>
      <w:bookmarkEnd w:id="33"/>
      <w:r>
        <w:rPr>
          <w:rFonts w:hint="eastAsia"/>
          <w:lang w:val="en-US"/>
        </w:rPr>
        <w:t>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pPr>
        <w:pStyle w:val="2"/>
      </w:pPr>
      <w:bookmarkStart w:id="34" w:name="_Toc1622"/>
      <w:r>
        <w:rPr>
          <w:rFonts w:hint="eastAsia"/>
        </w:rPr>
        <w:t>计算</w:t>
      </w:r>
      <w:bookmarkEnd w:id="31"/>
      <w:bookmarkEnd w:id="32"/>
      <w:r>
        <w:rPr>
          <w:rFonts w:hint="eastAsia"/>
        </w:rPr>
        <w:t>方法</w:t>
      </w:r>
      <w:bookmarkEnd w:id="34"/>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35" w:name="_Toc16150"/>
      <w:r>
        <w:t>CFD</w:t>
      </w:r>
      <w:r>
        <w:rPr>
          <w:rFonts w:hint="eastAsia"/>
        </w:rPr>
        <w:t>计算原理</w:t>
      </w:r>
      <w:bookmarkEnd w:id="35"/>
    </w:p>
    <w:p>
      <w:pPr>
        <w:pStyle w:val="5"/>
      </w:pPr>
      <w:bookmarkStart w:id="36" w:name="_Toc22560"/>
      <w:r>
        <w:rPr>
          <w:rFonts w:hint="eastAsia"/>
        </w:rPr>
        <w:t>湍流模型</w:t>
      </w:r>
      <w:bookmarkEnd w:id="36"/>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7" w:name="_Toc452108766"/>
      <w:bookmarkStart w:id="38" w:name="_Toc451698938"/>
      <w:bookmarkStart w:id="39" w:name="_Toc8151"/>
      <w:bookmarkStart w:id="40" w:name="_Toc31444"/>
      <w:r>
        <w:rPr>
          <w:rFonts w:hint="eastAsia"/>
        </w:rPr>
        <w:t>边界条件</w:t>
      </w:r>
      <w:bookmarkEnd w:id="37"/>
      <w:bookmarkEnd w:id="38"/>
      <w:bookmarkEnd w:id="39"/>
      <w:bookmarkEnd w:id="40"/>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41" w:name="_Toc23583"/>
      <w:bookmarkStart w:id="42" w:name="_Toc452108767"/>
      <w:bookmarkStart w:id="43" w:name="_Toc451698939"/>
      <w:bookmarkStart w:id="44" w:name="_Toc25140"/>
      <w:r>
        <w:rPr>
          <w:rFonts w:hint="eastAsia"/>
        </w:rPr>
        <w:t>求解计算</w:t>
      </w:r>
      <w:bookmarkEnd w:id="41"/>
      <w:bookmarkEnd w:id="42"/>
      <w:bookmarkEnd w:id="43"/>
      <w:bookmarkEnd w:id="44"/>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45"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5"/>
      <w:r>
        <w:rPr>
          <w:rFonts w:hint="eastAsia" w:ascii="微软雅黑" w:hAnsi="微软雅黑" w:eastAsia="微软雅黑"/>
          <w:b/>
        </w:rPr>
        <w:t xml:space="preserve"> </w:t>
      </w:r>
      <w:bookmarkStart w:id="46" w:name="_Ref225175618"/>
      <w:r>
        <w:rPr>
          <w:rFonts w:hint="eastAsia" w:ascii="微软雅黑" w:hAnsi="微软雅黑" w:eastAsia="微软雅黑"/>
          <w:b/>
        </w:rPr>
        <w:t>计算流体力学的控制方程</w:t>
      </w:r>
      <w:bookmarkEnd w:id="46"/>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7" w:name="_Toc13008"/>
      <w:r>
        <w:rPr>
          <w:rFonts w:hint="eastAsia"/>
        </w:rPr>
        <w:t>热湿环境评价</w:t>
      </w:r>
      <w:r>
        <w:t>指标</w:t>
      </w:r>
      <w:r>
        <w:rPr>
          <w:rFonts w:hint="eastAsia"/>
        </w:rPr>
        <w:t>计算</w:t>
      </w:r>
      <w:bookmarkEnd w:id="47"/>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8" w:name="_Hlk13601794"/>
      <w:r>
        <w:rPr>
          <w:rFonts w:hint="eastAsia"/>
          <w:lang w:val="en-US"/>
        </w:rPr>
        <w:t>本项目采用《民用建筑室内热湿环境评价标准》GB/T 50785-2012中所示的计算程序完成上述PMV的计算。</w:t>
      </w:r>
    </w:p>
    <w:p>
      <w:pPr>
        <w:pStyle w:val="5"/>
      </w:pPr>
      <w:bookmarkStart w:id="49" w:name="_Toc3380"/>
      <w:r>
        <w:t>PMV</w:t>
      </w:r>
      <w:r>
        <w:rPr>
          <w:rFonts w:hint="eastAsia"/>
        </w:rPr>
        <w:t>计算公式</w:t>
      </w:r>
      <w:bookmarkEnd w:id="49"/>
    </w:p>
    <w:bookmarkEnd w:id="48"/>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8" o:title=""/>
            <o:lock v:ext="edit" aspectratio="t"/>
            <w10:wrap type="none"/>
            <w10:anchorlock/>
          </v:shape>
          <o:OLEObject Type="Embed" ProgID="Equation.3" ShapeID="_x0000_i1025" DrawAspect="Content" ObjectID="_1468075725" r:id="rId57">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50" w:name="_Toc14352"/>
      <w:r>
        <w:t>PPD</w:t>
      </w:r>
      <w:r>
        <w:rPr>
          <w:rFonts w:hint="eastAsia"/>
        </w:rPr>
        <w:t>计算公式</w:t>
      </w:r>
      <w:bookmarkEnd w:id="50"/>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51" w:name="_Toc27987"/>
      <w:r>
        <w:rPr>
          <w:rFonts w:hint="eastAsia"/>
        </w:rPr>
        <w:t>PMV和PPD达标比例计算</w:t>
      </w:r>
      <w:bookmarkEnd w:id="51"/>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52" w:name="_Toc3745"/>
      <w:bookmarkStart w:id="53" w:name="_Toc452108768"/>
      <w:bookmarkStart w:id="54" w:name="_Toc16436"/>
      <w:r>
        <w:rPr>
          <w:rFonts w:hint="eastAsia"/>
        </w:rPr>
        <w:t>结果</w:t>
      </w:r>
      <w:r>
        <w:t>分析</w:t>
      </w:r>
      <w:bookmarkEnd w:id="52"/>
      <w:bookmarkEnd w:id="53"/>
      <w:bookmarkEnd w:id="54"/>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pPr>
              <w:pStyle w:val="3"/>
              <w:spacing w:line="0" w:lineRule="atLeast"/>
              <w:ind w:firstLine="0" w:firstLineChars="0"/>
              <w:jc w:val="center"/>
            </w:pPr>
            <w:bookmarkStart w:id="55"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1层-房间1001</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55"/>
    </w:tbl>
    <w:p>
      <w:pPr>
        <w:pStyle w:val="3"/>
        <w:ind w:firstLine="0" w:firstLineChars="0"/>
      </w:pPr>
    </w:p>
    <w:p>
      <w:pPr>
        <w:pStyle w:val="4"/>
      </w:pPr>
      <w:bookmarkStart w:id="56" w:name="分析对象名称"/>
      <w:bookmarkStart w:id="57" w:name="_Toc29443"/>
      <w:r>
        <w:t>1层-房间1001分析图</w:t>
      </w:r>
      <w:bookmarkEnd w:id="56"/>
      <w:bookmarkEnd w:id="57"/>
    </w:p>
    <w:p>
      <w:pPr>
        <w:pStyle w:val="3"/>
        <w:ind w:firstLine="420"/>
        <w:jc w:val="center"/>
        <w:rPr>
          <w:lang w:val="en-US"/>
        </w:rPr>
      </w:pPr>
      <w:bookmarkStart w:id="58" w:name="温度场分布"/>
      <w:bookmarkEnd w:id="58"/>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pPr>
        <w:pStyle w:val="3"/>
        <w:ind w:firstLine="420"/>
        <w:jc w:val="center"/>
        <w:rPr>
          <w:lang w:val="en-US"/>
        </w:rPr>
      </w:pPr>
      <w:bookmarkStart w:id="59" w:name="速度云图"/>
      <w:bookmarkEnd w:id="59"/>
      <w: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pPr>
        <w:pStyle w:val="3"/>
        <w:ind w:firstLine="400"/>
        <w:jc w:val="center"/>
        <w:rPr>
          <w:rFonts w:ascii="黑体" w:hAnsi="黑体" w:eastAsia="黑体"/>
          <w:sz w:val="20"/>
          <w:szCs w:val="20"/>
        </w:rPr>
      </w:pPr>
    </w:p>
    <w:p>
      <w:pPr>
        <w:pStyle w:val="3"/>
        <w:ind w:firstLine="420"/>
        <w:jc w:val="center"/>
        <w:rPr>
          <w:lang w:val="en-US"/>
        </w:rPr>
      </w:pPr>
      <w:bookmarkStart w:id="60" w:name="PMV分布"/>
      <w:bookmarkEnd w:id="60"/>
      <w:r>
        <w:drawing>
          <wp:inline distT="0" distB="0" distL="0" distR="0">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p>
      <w:pPr>
        <w:pStyle w:val="3"/>
        <w:ind w:firstLine="420"/>
        <w:jc w:val="center"/>
        <w:rPr>
          <w:lang w:val="en-US"/>
        </w:rPr>
      </w:pPr>
      <w:bookmarkStart w:id="61" w:name="PPD分布"/>
      <w:bookmarkEnd w:id="61"/>
      <w:r>
        <w:drawing>
          <wp:inline distT="0" distB="0" distL="0" distR="0">
            <wp:extent cx="5667375" cy="37528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pPr>
        <w:pStyle w:val="3"/>
        <w:ind w:firstLine="420"/>
        <w:jc w:val="center"/>
      </w:pPr>
      <w:bookmarkStart w:id="62" w:name="LPD1分布"/>
      <w:bookmarkEnd w:id="62"/>
    </w:p>
    <w:p>
      <w:pPr>
        <w:pStyle w:val="3"/>
        <w:ind w:firstLine="420"/>
        <w:jc w:val="center"/>
      </w:pPr>
    </w:p>
    <w:p>
      <w:pPr>
        <w:pStyle w:val="3"/>
        <w:ind w:firstLine="0" w:firstLineChars="0"/>
        <w:rPr>
          <w:lang w:val="en-US"/>
        </w:rPr>
      </w:pPr>
      <w:bookmarkStart w:id="63" w:name="结果分析"/>
      <w:bookmarkEnd w:id="63"/>
    </w:p>
    <w:p>
      <w:pPr>
        <w:pStyle w:val="4"/>
      </w:pPr>
      <w:bookmarkStart w:id="64" w:name="_Toc3570"/>
      <w:r>
        <w:rPr>
          <w:rFonts w:hint="eastAsia"/>
        </w:rPr>
        <w:t>室内PMV与PPD达标比例统计</w:t>
      </w:r>
      <w:bookmarkEnd w:id="64"/>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p>
      <w:pPr>
        <w:pStyle w:val="3"/>
        <w:ind w:firstLine="0" w:firstLineChars="0"/>
        <w:jc w:val="center"/>
        <w:rPr>
          <w:rFonts w:ascii="宋体" w:hAnsi="宋体" w:cs="宋体"/>
          <w:b/>
          <w:bCs/>
          <w:color w:val="333333"/>
          <w:sz w:val="24"/>
          <w:szCs w:val="22"/>
          <w:lang w:val="en-US"/>
        </w:rPr>
      </w:pPr>
      <w:bookmarkStart w:id="65" w:name="统计计算表表头"/>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w:t>
      </w:r>
      <w:r>
        <w:rPr>
          <w:rFonts w:ascii="微软雅黑" w:hAnsi="微软雅黑" w:eastAsia="微软雅黑"/>
          <w:b/>
        </w:rPr>
        <w:t xml:space="preserve">2 </w:t>
      </w:r>
      <w:r>
        <w:rPr>
          <w:rFonts w:hint="eastAsia" w:ascii="微软雅黑" w:hAnsi="微软雅黑" w:eastAsia="微软雅黑"/>
          <w:b/>
        </w:rPr>
        <w:t>建筑主要功能房间以及PMV</w:t>
      </w:r>
      <w:r>
        <w:rPr>
          <w:rFonts w:ascii="微软雅黑" w:hAnsi="微软雅黑" w:eastAsia="微软雅黑"/>
          <w:b/>
        </w:rPr>
        <w:t>-PPD</w:t>
      </w:r>
      <w:r>
        <w:rPr>
          <w:rFonts w:hint="eastAsia" w:ascii="微软雅黑" w:hAnsi="微软雅黑" w:eastAsia="微软雅黑"/>
          <w:b/>
        </w:rPr>
        <w:t>整体评价达标面积统计</w:t>
      </w:r>
      <w:bookmarkEnd w:id="65"/>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386"/>
        <w:gridCol w:w="1109"/>
        <w:gridCol w:w="1658"/>
        <w:gridCol w:w="6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4"/>
                <w:szCs w:val="24"/>
              </w:rPr>
            </w:pPr>
            <w:r>
              <w:rPr>
                <w:sz w:val="24"/>
                <w:szCs w:val="24"/>
              </w:rPr>
              <w:t>层号</w:t>
            </w:r>
          </w:p>
        </w:tc>
        <w:tc>
          <w:tcPr>
            <w:shd w:val="clear" w:color="auto" w:fill="E6E6E6"/>
            <w:vAlign w:val="center"/>
          </w:tcPr>
          <w:p>
            <w:pPr>
              <w:jc w:val="center"/>
              <w:rPr>
                <w:sz w:val="24"/>
                <w:szCs w:val="24"/>
              </w:rPr>
            </w:pPr>
            <w:r>
              <w:rPr>
                <w:sz w:val="24"/>
                <w:szCs w:val="24"/>
              </w:rPr>
              <w:t>户型</w:t>
            </w:r>
          </w:p>
        </w:tc>
        <w:tc>
          <w:tcPr>
            <w:shd w:val="clear" w:color="auto" w:fill="E6E6E6"/>
            <w:vAlign w:val="center"/>
          </w:tcPr>
          <w:p>
            <w:pPr>
              <w:jc w:val="center"/>
              <w:rPr>
                <w:sz w:val="24"/>
                <w:szCs w:val="24"/>
              </w:rPr>
            </w:pPr>
            <w:r>
              <w:rPr>
                <w:sz w:val="24"/>
                <w:szCs w:val="24"/>
              </w:rPr>
              <w:t>房间编号</w:t>
            </w:r>
          </w:p>
        </w:tc>
        <w:tc>
          <w:tcPr>
            <w:shd w:val="clear" w:color="auto" w:fill="E6E6E6"/>
            <w:vAlign w:val="center"/>
          </w:tcPr>
          <w:p>
            <w:pPr>
              <w:jc w:val="center"/>
              <w:rPr>
                <w:sz w:val="24"/>
                <w:szCs w:val="24"/>
              </w:rPr>
            </w:pPr>
            <w:r>
              <w:rPr>
                <w:sz w:val="24"/>
                <w:szCs w:val="24"/>
              </w:rPr>
              <w:t>房间名称</w:t>
            </w:r>
          </w:p>
        </w:tc>
        <w:tc>
          <w:tcPr>
            <w:shd w:val="clear" w:color="auto" w:fill="E6E6E6"/>
            <w:vAlign w:val="center"/>
          </w:tcPr>
          <w:p>
            <w:pPr>
              <w:jc w:val="center"/>
              <w:rPr>
                <w:sz w:val="24"/>
                <w:szCs w:val="24"/>
              </w:rPr>
            </w:pPr>
            <w:r>
              <w:rPr>
                <w:sz w:val="24"/>
                <w:szCs w:val="24"/>
              </w:rPr>
              <w:t>PMV-PPD达标面积 (㎡)</w:t>
            </w:r>
          </w:p>
        </w:tc>
        <w:tc>
          <w:tcPr>
            <w:shd w:val="clear" w:color="auto" w:fill="E6E6E6"/>
            <w:vAlign w:val="center"/>
          </w:tcPr>
          <w:p>
            <w:pPr>
              <w:jc w:val="center"/>
              <w:rPr>
                <w:sz w:val="24"/>
                <w:szCs w:val="24"/>
              </w:rPr>
            </w:pPr>
            <w:r>
              <w:rPr>
                <w:sz w:val="24"/>
                <w:szCs w:val="24"/>
              </w:rPr>
              <w:t>面积(㎡)</w:t>
            </w:r>
          </w:p>
        </w:tc>
        <w:tc>
          <w:tcPr>
            <w:shd w:val="clear" w:color="auto" w:fill="E6E6E6"/>
            <w:vAlign w:val="center"/>
          </w:tcPr>
          <w:p>
            <w:pPr>
              <w:jc w:val="center"/>
              <w:rPr>
                <w:sz w:val="24"/>
                <w:szCs w:val="24"/>
              </w:rPr>
            </w:pPr>
            <w:r>
              <w:rPr>
                <w:sz w:val="24"/>
                <w:szCs w:val="24"/>
              </w:rPr>
              <w:t>PMV-PPD达标面积比例(%)</w:t>
            </w:r>
          </w:p>
        </w:tc>
        <w:tc>
          <w:tcPr>
            <w:shd w:val="clear" w:color="auto" w:fill="E6E6E6"/>
            <w:vAlign w:val="center"/>
          </w:tcPr>
          <w:p>
            <w:pPr>
              <w:jc w:val="center"/>
              <w:rPr>
                <w:sz w:val="24"/>
                <w:szCs w:val="24"/>
              </w:rPr>
            </w:pPr>
            <w:r>
              <w:rPr>
                <w:sz w:val="24"/>
                <w:szCs w:val="24"/>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rPr>
                <w:sz w:val="24"/>
                <w:szCs w:val="24"/>
              </w:rPr>
            </w:pPr>
            <w:r>
              <w:rPr>
                <w:sz w:val="24"/>
                <w:szCs w:val="24"/>
              </w:rPr>
              <w:t>1层</w:t>
            </w:r>
          </w:p>
        </w:tc>
        <w:tc>
          <w:tcPr>
            <w:gridSpan w:val="2"/>
          </w:tcPr>
          <w:p>
            <w:pPr>
              <w:rPr>
                <w:sz w:val="24"/>
                <w:szCs w:val="24"/>
              </w:rPr>
            </w:pPr>
            <w:r>
              <w:rPr>
                <w:sz w:val="24"/>
                <w:szCs w:val="24"/>
              </w:rPr>
              <w:t>1001</w:t>
            </w:r>
          </w:p>
        </w:tc>
        <w:tc>
          <w:tcPr>
            <w:vAlign w:val="center"/>
          </w:tcPr>
          <w:p>
            <w:pPr>
              <w:rPr>
                <w:sz w:val="24"/>
                <w:szCs w:val="24"/>
              </w:rPr>
            </w:pPr>
            <w:r>
              <w:rPr>
                <w:sz w:val="24"/>
                <w:szCs w:val="24"/>
              </w:rPr>
              <w:t>卫</w:t>
            </w:r>
          </w:p>
        </w:tc>
        <w:tc>
          <w:tcPr>
            <w:vAlign w:val="center"/>
          </w:tcPr>
          <w:p>
            <w:pPr>
              <w:rPr>
                <w:sz w:val="24"/>
                <w:szCs w:val="24"/>
              </w:rPr>
            </w:pPr>
            <w:r>
              <w:rPr>
                <w:sz w:val="24"/>
                <w:szCs w:val="24"/>
              </w:rPr>
              <w:t>4435.3</w:t>
            </w:r>
          </w:p>
        </w:tc>
        <w:tc>
          <w:tcPr>
            <w:vAlign w:val="center"/>
          </w:tcPr>
          <w:p>
            <w:pPr>
              <w:rPr>
                <w:sz w:val="24"/>
                <w:szCs w:val="24"/>
              </w:rPr>
            </w:pPr>
            <w:r>
              <w:rPr>
                <w:sz w:val="24"/>
                <w:szCs w:val="24"/>
              </w:rPr>
              <w:t>4435.3</w:t>
            </w:r>
          </w:p>
        </w:tc>
        <w:tc>
          <w:tcPr>
            <w:vAlign w:val="center"/>
          </w:tcPr>
          <w:p>
            <w:pPr>
              <w:rPr>
                <w:sz w:val="24"/>
                <w:szCs w:val="24"/>
              </w:rPr>
            </w:pPr>
            <w:r>
              <w:rPr>
                <w:sz w:val="24"/>
                <w:szCs w:val="24"/>
              </w:rPr>
              <w:t>100.00</w:t>
            </w:r>
          </w:p>
        </w:tc>
        <w:tc>
          <w:tcPr>
            <w:vAlign w:val="center"/>
          </w:tcPr>
          <w:p>
            <w:pPr>
              <w:rPr>
                <w:sz w:val="24"/>
                <w:szCs w:val="24"/>
              </w:rPr>
            </w:pPr>
            <w:r>
              <w:rPr>
                <w:sz w:val="24"/>
                <w:szCs w:val="24"/>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pPr>
              <w:rPr>
                <w:sz w:val="24"/>
                <w:szCs w:val="24"/>
              </w:rPr>
            </w:pPr>
            <w:r>
              <w:rPr>
                <w:sz w:val="24"/>
                <w:szCs w:val="24"/>
              </w:rPr>
              <w:t>建筑PMV-PPD达标面积比例（%）</w:t>
            </w:r>
          </w:p>
        </w:tc>
        <w:tc>
          <w:tcPr>
            <w:gridSpan w:val="4"/>
            <w:vAlign w:val="center"/>
          </w:tcPr>
          <w:p>
            <w:pPr>
              <w:rPr>
                <w:sz w:val="24"/>
                <w:szCs w:val="24"/>
              </w:rPr>
            </w:pPr>
            <w:r>
              <w:rPr>
                <w:sz w:val="24"/>
                <w:szCs w:val="24"/>
              </w:rPr>
              <w:t>100.00%</w:t>
            </w:r>
          </w:p>
        </w:tc>
      </w:tr>
    </w:tbl>
    <w:p>
      <w:pPr>
        <w:spacing w:after="120"/>
        <w:rPr>
          <w:rFonts w:ascii="宋体" w:hAnsi="宋体" w:cs="宋体"/>
          <w:b/>
          <w:bCs/>
          <w:color w:val="333333"/>
          <w:sz w:val="24"/>
          <w:szCs w:val="22"/>
          <w:lang w:val="en-US"/>
        </w:rPr>
      </w:pPr>
      <w:bookmarkStart w:id="66" w:name="达标统计表"/>
      <w:bookmarkEnd w:id="66"/>
    </w:p>
    <w:p>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pPr>
        <w:pStyle w:val="2"/>
      </w:pPr>
      <w:bookmarkStart w:id="67" w:name="_Toc16900"/>
      <w:r>
        <w:rPr>
          <w:rFonts w:hint="eastAsia"/>
        </w:rPr>
        <w:t>结论</w:t>
      </w:r>
      <w:bookmarkEnd w:id="67"/>
    </w:p>
    <w:p>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8" w:name="达标百分比"/>
      <w:r>
        <w:rPr>
          <w:rFonts w:hint="eastAsia"/>
          <w:lang w:val="en-US"/>
        </w:rPr>
        <w:t>100.00%</w:t>
      </w:r>
      <w:bookmarkEnd w:id="68"/>
      <w:r>
        <w:rPr>
          <w:rFonts w:hint="eastAsia"/>
          <w:lang w:val="en-US"/>
        </w:rPr>
        <w:t>，根据绿标5.2.9，应得</w:t>
      </w:r>
      <w:bookmarkStart w:id="69" w:name="得分"/>
      <w:r>
        <w:rPr>
          <w:rFonts w:hint="eastAsia"/>
          <w:lang w:val="en-US"/>
        </w:rPr>
        <w:t>8</w:t>
      </w:r>
      <w:bookmarkEnd w:id="69"/>
      <w:r>
        <w:rPr>
          <w:rFonts w:hint="eastAsia"/>
          <w:lang w:val="en-US"/>
        </w:rPr>
        <w:t>分。</w:t>
      </w:r>
    </w:p>
    <w:p>
      <w:pPr>
        <w:pStyle w:val="3"/>
        <w:ind w:firstLine="420"/>
        <w:rPr>
          <w:lang w:val="en-US"/>
        </w:rPr>
      </w:pPr>
      <w:r>
        <w:rPr>
          <w:lang w:val="en-US"/>
        </w:rPr>
        <w:br w:type="page"/>
      </w:r>
    </w:p>
    <w:p>
      <w:pPr>
        <w:pStyle w:val="3"/>
        <w:ind w:firstLine="420"/>
        <w:rPr>
          <w:lang w:val="en-US"/>
        </w:rPr>
      </w:pPr>
    </w:p>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MmQ1NTcyOWQzYzgzYjE3YWIxYTBhMTc5MGIxNjIifQ=="/>
  </w:docVars>
  <w:rsids>
    <w:rsidRoot w:val="252D76EE"/>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0A33"/>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9A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03C5"/>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332"/>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252D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autoRedefine/>
    <w:qFormat/>
    <w:uiPriority w:val="0"/>
    <w:pPr>
      <w:keepNext/>
      <w:numPr>
        <w:ilvl w:val="3"/>
        <w:numId w:val="1"/>
      </w:numPr>
      <w:spacing w:before="240" w:after="60"/>
      <w:outlineLvl w:val="3"/>
    </w:pPr>
    <w:rPr>
      <w:b/>
      <w:bCs/>
      <w:szCs w:val="28"/>
    </w:rPr>
  </w:style>
  <w:style w:type="paragraph" w:styleId="7">
    <w:name w:val="heading 5"/>
    <w:basedOn w:val="1"/>
    <w:next w:val="1"/>
    <w:link w:val="38"/>
    <w:autoRedefine/>
    <w:qFormat/>
    <w:uiPriority w:val="0"/>
    <w:pPr>
      <w:numPr>
        <w:ilvl w:val="4"/>
        <w:numId w:val="1"/>
      </w:numPr>
      <w:spacing w:before="240" w:after="60"/>
      <w:outlineLvl w:val="4"/>
    </w:pPr>
    <w:rPr>
      <w:b/>
      <w:bCs/>
      <w:iCs/>
      <w:szCs w:val="26"/>
    </w:rPr>
  </w:style>
  <w:style w:type="paragraph" w:styleId="8">
    <w:name w:val="heading 6"/>
    <w:basedOn w:val="1"/>
    <w:next w:val="1"/>
    <w:link w:val="39"/>
    <w:autoRedefine/>
    <w:qFormat/>
    <w:uiPriority w:val="0"/>
    <w:pPr>
      <w:numPr>
        <w:ilvl w:val="5"/>
        <w:numId w:val="1"/>
      </w:numPr>
      <w:spacing w:before="240" w:after="60"/>
      <w:outlineLvl w:val="5"/>
    </w:pPr>
    <w:rPr>
      <w:b/>
      <w:bCs/>
      <w:szCs w:val="22"/>
    </w:rPr>
  </w:style>
  <w:style w:type="paragraph" w:styleId="9">
    <w:name w:val="heading 7"/>
    <w:basedOn w:val="1"/>
    <w:next w:val="1"/>
    <w:link w:val="40"/>
    <w:autoRedefine/>
    <w:qFormat/>
    <w:uiPriority w:val="0"/>
    <w:pPr>
      <w:numPr>
        <w:ilvl w:val="6"/>
        <w:numId w:val="1"/>
      </w:numPr>
      <w:spacing w:before="240" w:after="60"/>
      <w:outlineLvl w:val="6"/>
    </w:pPr>
    <w:rPr>
      <w:sz w:val="24"/>
      <w:szCs w:val="24"/>
    </w:rPr>
  </w:style>
  <w:style w:type="paragraph" w:styleId="10">
    <w:name w:val="heading 8"/>
    <w:basedOn w:val="1"/>
    <w:next w:val="1"/>
    <w:link w:val="41"/>
    <w:autoRedefine/>
    <w:qFormat/>
    <w:uiPriority w:val="0"/>
    <w:pPr>
      <w:numPr>
        <w:ilvl w:val="7"/>
        <w:numId w:val="1"/>
      </w:numPr>
      <w:spacing w:before="240" w:after="60"/>
      <w:outlineLvl w:val="7"/>
    </w:pPr>
    <w:rPr>
      <w:i/>
      <w:iCs/>
      <w:sz w:val="24"/>
      <w:szCs w:val="24"/>
    </w:rPr>
  </w:style>
  <w:style w:type="paragraph" w:styleId="11">
    <w:name w:val="heading 9"/>
    <w:basedOn w:val="1"/>
    <w:next w:val="1"/>
    <w:link w:val="42"/>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autoRedefine/>
    <w:qFormat/>
    <w:uiPriority w:val="99"/>
    <w:pPr>
      <w:tabs>
        <w:tab w:val="center" w:pos="4153"/>
        <w:tab w:val="right" w:pos="8306"/>
      </w:tabs>
      <w:snapToGrid w:val="0"/>
    </w:pPr>
    <w:rPr>
      <w:szCs w:val="18"/>
    </w:rPr>
  </w:style>
  <w:style w:type="paragraph" w:styleId="18">
    <w:name w:val="header"/>
    <w:basedOn w:val="1"/>
    <w:link w:val="43"/>
    <w:autoRedefine/>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autoRedefine/>
    <w:qFormat/>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numbering" Target="numbering.xml"/><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wmf"/><Relationship Id="rId57" Type="http://schemas.openxmlformats.org/officeDocument/2006/relationships/oleObject" Target="embeddings/oleObject1.bin"/><Relationship Id="rId56" Type="http://schemas.openxmlformats.org/officeDocument/2006/relationships/image" Target="media/image49.png"/><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6B15-E014-4C12-95EC-15B6AE49EEDE}">
  <ds:schemaRefs/>
</ds:datastoreItem>
</file>

<file path=docProps/app.xml><?xml version="1.0" encoding="utf-8"?>
<Properties xmlns="http://schemas.openxmlformats.org/officeDocument/2006/extended-properties" xmlns:vt="http://schemas.openxmlformats.org/officeDocument/2006/docPropsVTypes">
  <Template>tmp3.dotx</Template>
  <Pages>19</Pages>
  <Words>2611</Words>
  <Characters>3261</Characters>
  <Lines>33</Lines>
  <Paragraphs>9</Paragraphs>
  <TotalTime>0</TotalTime>
  <ScaleCrop>false</ScaleCrop>
  <LinksUpToDate>false</LinksUpToDate>
  <CharactersWithSpaces>3436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2024-12-27T14:43:00Z</dcterms:created>
  <dc:creator>与你未来纠缠</dc:creator>
  <cp:lastModifiedBy>与你未来纠缠</cp:lastModifiedBy>
  <dcterms:modified xsi:type="dcterms:W3CDTF">2024-12-27T14:43:35Z</dcterms:modified>
  <dc:title>室内热湿环境预计达标比例报告书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FEAB043D6D474AA1B0950A5E9524EFC6_11</vt:lpwstr>
  </property>
  <property fmtid="{D5CDD505-2E9C-101B-9397-08002B2CF9AE}" pid="3" name="KSOProductBuildVer">
    <vt:lpwstr>2052-12.1.0.16120</vt:lpwstr>
  </property>
</Properties>
</file>