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绿建方案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项目地址：浙江省衢州市龙游县龙洲街道寺后村‌龙和渔业文化园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报告日期：2025年3月17日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全寿命期单位建筑面积碳排放强为7kgCO2/（m2·a）减碳率40%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62.0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1062.0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