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青林医韵-康泽共生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报告日期：2025年4月21日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项目名称：青林医韵-康泽共生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绿色建材应用比例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应用比例40%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碳减排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明确全寿命期单位建筑面积碳排放强度，并明确降低碳排放强度的技术措施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全寿命期单位建筑面积碳排放强为20kgCO2/（m2·a）减碳率20%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因地制宜建设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电力交互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保险产品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