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424C">
      <w:pPr>
        <w:pStyle w:val="2"/>
        <w:jc w:val="center"/>
      </w:pPr>
    </w:p>
    <w:p w14:paraId="7037D9AC">
      <w:pPr>
        <w:pStyle w:val="2"/>
        <w:jc w:val="center"/>
      </w:pPr>
    </w:p>
    <w:p w14:paraId="624F2DEE">
      <w:pPr>
        <w:pStyle w:val="2"/>
        <w:jc w:val="center"/>
      </w:pPr>
    </w:p>
    <w:p w14:paraId="66F5A588">
      <w:pPr>
        <w:pStyle w:val="2"/>
        <w:jc w:val="center"/>
      </w:pPr>
      <w:bookmarkStart w:id="0" w:name="项目名称"/>
      <w:r>
        <w:rPr>
          <w:rFonts w:hint="eastAsia" w:cs="Times New Roman"/>
          <w:b/>
          <w:sz w:val="36"/>
          <w:szCs w:val="36"/>
        </w:rPr>
        <w:t>济南新旧动能转换起步区崔寨安置五区补充地块（一期）F-1地块</w:t>
      </w:r>
      <w:bookmarkEnd w:id="0"/>
    </w:p>
    <w:p w14:paraId="61E2013D">
      <w:pPr>
        <w:pStyle w:val="2"/>
        <w:jc w:val="center"/>
      </w:pPr>
      <w:r>
        <w:rPr>
          <w:rFonts w:hint="eastAsia"/>
        </w:rPr>
        <w:t>地面停车率</w:t>
      </w:r>
      <w:r>
        <w:t>计算书</w:t>
      </w:r>
    </w:p>
    <w:p w14:paraId="1D9D9D6B">
      <w:pPr>
        <w:rPr>
          <w:kern w:val="44"/>
          <w:sz w:val="44"/>
          <w:szCs w:val="44"/>
        </w:rPr>
      </w:pPr>
      <w:r>
        <w:br w:type="page"/>
      </w:r>
    </w:p>
    <w:p w14:paraId="029D9816">
      <w:pPr>
        <w:pStyle w:val="3"/>
        <w:rPr>
          <w:rStyle w:val="10"/>
          <w:i w:val="0"/>
          <w:iCs w:val="0"/>
          <w:color w:val="auto"/>
        </w:rPr>
      </w:pPr>
      <w:r>
        <w:rPr>
          <w:rStyle w:val="10"/>
          <w:rFonts w:hint="eastAsia"/>
          <w:i w:val="0"/>
          <w:iCs w:val="0"/>
          <w:color w:val="auto"/>
        </w:rPr>
        <w:t>1</w:t>
      </w:r>
      <w:r>
        <w:rPr>
          <w:rStyle w:val="10"/>
          <w:i w:val="0"/>
          <w:iCs w:val="0"/>
          <w:color w:val="auto"/>
        </w:rPr>
        <w:t xml:space="preserve"> </w:t>
      </w:r>
      <w:r>
        <w:rPr>
          <w:rStyle w:val="10"/>
          <w:rFonts w:hint="eastAsia"/>
          <w:i w:val="0"/>
          <w:iCs w:val="0"/>
          <w:color w:val="auto"/>
        </w:rPr>
        <w:t>项目</w:t>
      </w:r>
      <w:r>
        <w:rPr>
          <w:rStyle w:val="10"/>
          <w:i w:val="0"/>
          <w:iCs w:val="0"/>
          <w:color w:val="auto"/>
        </w:rPr>
        <w:t>概况</w:t>
      </w:r>
    </w:p>
    <w:p w14:paraId="303FE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位于</w:t>
      </w:r>
      <w:r>
        <w:rPr>
          <w:rFonts w:hint="eastAsia"/>
          <w:sz w:val="24"/>
          <w:szCs w:val="24"/>
          <w:lang w:val="en-US" w:eastAsia="zh-CN"/>
        </w:rPr>
        <w:t>济南</w:t>
      </w:r>
      <w:r>
        <w:rPr>
          <w:sz w:val="24"/>
          <w:szCs w:val="24"/>
        </w:rPr>
        <w:t>市</w:t>
      </w:r>
      <w:r>
        <w:rPr>
          <w:rFonts w:hint="eastAsia"/>
          <w:sz w:val="24"/>
          <w:szCs w:val="24"/>
          <w:lang w:val="en-US" w:eastAsia="zh-CN"/>
        </w:rPr>
        <w:t>起步区崔寨安置五区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该项目</w:t>
      </w:r>
      <w:r>
        <w:rPr>
          <w:rFonts w:hint="eastAsia"/>
          <w:sz w:val="24"/>
          <w:szCs w:val="24"/>
        </w:rPr>
        <w:t>总用地</w:t>
      </w:r>
      <w:r>
        <w:rPr>
          <w:sz w:val="24"/>
          <w:szCs w:val="24"/>
        </w:rPr>
        <w:t>面积为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28634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平方米</w:t>
      </w:r>
      <w:r>
        <w:rPr>
          <w:sz w:val="24"/>
          <w:szCs w:val="24"/>
        </w:rPr>
        <w:t>，建筑面积</w:t>
      </w:r>
      <w:r>
        <w:rPr>
          <w:rFonts w:hint="eastAsia"/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  <w:lang w:val="en-US" w:eastAsia="zh-CN"/>
        </w:rPr>
        <w:t>00648.06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平方米</w:t>
      </w:r>
      <w:r>
        <w:rPr>
          <w:sz w:val="24"/>
          <w:szCs w:val="24"/>
        </w:rPr>
        <w:t>，总户数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608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总人数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1055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，绿地率为</w:t>
      </w:r>
      <w:r>
        <w:rPr>
          <w:rFonts w:hint="eastAsia"/>
          <w:sz w:val="24"/>
          <w:szCs w:val="24"/>
          <w:u w:val="single"/>
        </w:rPr>
        <w:t xml:space="preserve"> 3</w:t>
      </w:r>
      <w:r>
        <w:rPr>
          <w:rFonts w:hint="eastAsia"/>
          <w:sz w:val="24"/>
          <w:szCs w:val="24"/>
          <w:u w:val="single"/>
          <w:lang w:val="en-US" w:eastAsia="zh-CN"/>
        </w:rPr>
        <w:t>5.1</w:t>
      </w:r>
      <w:r>
        <w:rPr>
          <w:sz w:val="24"/>
          <w:szCs w:val="24"/>
          <w:u w:val="single"/>
        </w:rPr>
        <w:t xml:space="preserve">% </w:t>
      </w:r>
      <w:r>
        <w:rPr>
          <w:rFonts w:hint="eastAsia"/>
          <w:sz w:val="24"/>
          <w:szCs w:val="24"/>
        </w:rPr>
        <w:t>。</w:t>
      </w:r>
    </w:p>
    <w:p w14:paraId="316B0F4F">
      <w:pPr>
        <w:ind w:firstLine="480" w:firstLineChars="200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4029075" cy="3362325"/>
            <wp:effectExtent l="0" t="0" r="9525" b="9525"/>
            <wp:docPr id="1" name="图片 1" descr="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鸟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E413">
      <w:pPr>
        <w:ind w:firstLine="480" w:firstLineChars="200"/>
        <w:rPr>
          <w:sz w:val="24"/>
        </w:rPr>
      </w:pPr>
    </w:p>
    <w:p w14:paraId="17FB8423">
      <w:pPr>
        <w:ind w:firstLine="480" w:firstLineChars="200"/>
        <w:jc w:val="center"/>
        <w:rPr>
          <w:sz w:val="24"/>
        </w:rPr>
      </w:pPr>
      <w:r>
        <w:rPr>
          <w:sz w:val="24"/>
        </w:rPr>
        <w:t>项目效果图</w:t>
      </w:r>
    </w:p>
    <w:p w14:paraId="1D5B5F30">
      <w:pPr>
        <w:pStyle w:val="2"/>
        <w:rPr>
          <w:sz w:val="28"/>
        </w:rPr>
      </w:pPr>
      <w:r>
        <w:rPr>
          <w:rFonts w:hint="eastAsia"/>
          <w:sz w:val="28"/>
        </w:rPr>
        <w:t>2 标准要求</w:t>
      </w:r>
    </w:p>
    <w:p w14:paraId="6C257FFB">
      <w:pPr>
        <w:spacing w:line="276" w:lineRule="auto"/>
        <w:ind w:firstLine="420"/>
        <w:rPr>
          <w:sz w:val="24"/>
        </w:rPr>
      </w:pPr>
      <w:r>
        <w:rPr>
          <w:sz w:val="24"/>
        </w:rPr>
        <w:t>《绿色建筑</w:t>
      </w:r>
      <w:r>
        <w:rPr>
          <w:rFonts w:hint="eastAsia"/>
          <w:sz w:val="24"/>
        </w:rPr>
        <w:t>评价</w:t>
      </w:r>
      <w:r>
        <w:rPr>
          <w:sz w:val="24"/>
        </w:rPr>
        <w:t>标准》GB/T 50378-2019第7.2.3 条明确要求：</w:t>
      </w:r>
    </w:p>
    <w:p w14:paraId="631E9A8F">
      <w:pPr>
        <w:ind w:firstLine="42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采用机械式停车设施、地下停车库或地面停车楼等方式，评价分值为8分，并按下列规则评分：</w:t>
      </w:r>
    </w:p>
    <w:p w14:paraId="00C6BECE">
      <w:pPr>
        <w:ind w:firstLine="42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>
        <w:rPr>
          <w:rFonts w:hint="eastAsia" w:asciiTheme="minorEastAsia" w:hAnsiTheme="minorEastAsia"/>
          <w:sz w:val="24"/>
          <w:szCs w:val="21"/>
        </w:rPr>
        <w:t>1   住宅建筑地面停车位数量与住宅总套数的比率应小于10%，得8分；</w:t>
      </w:r>
    </w:p>
    <w:p w14:paraId="1A4BAA38">
      <w:pPr>
        <w:ind w:firstLine="42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  </w:t>
      </w:r>
      <w:r>
        <w:rPr>
          <w:rFonts w:asciiTheme="minorEastAsia" w:hAnsiTheme="minorEastAsia"/>
          <w:sz w:val="24"/>
          <w:szCs w:val="21"/>
        </w:rPr>
        <w:tab/>
      </w:r>
      <w:r>
        <w:rPr>
          <w:rFonts w:hint="eastAsia" w:asciiTheme="minorEastAsia" w:hAnsiTheme="minorEastAsia"/>
          <w:sz w:val="24"/>
          <w:szCs w:val="21"/>
        </w:rPr>
        <w:t>2  公共建筑地面停车占地面积与其总建设用地面积的比率应小于8%，得8分。</w:t>
      </w:r>
    </w:p>
    <w:p w14:paraId="17784BBA">
      <w:pPr>
        <w:ind w:firstLine="420"/>
        <w:rPr>
          <w:rFonts w:asciiTheme="minorEastAsia" w:hAnsiTheme="minorEastAsia"/>
          <w:sz w:val="24"/>
          <w:szCs w:val="21"/>
        </w:rPr>
      </w:pPr>
    </w:p>
    <w:p w14:paraId="3889D462">
      <w:pPr>
        <w:pStyle w:val="2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 xml:space="preserve"> 计算</w:t>
      </w:r>
    </w:p>
    <w:p w14:paraId="689D1321">
      <w:pPr>
        <w:ind w:firstLine="420"/>
        <w:rPr>
          <w:rFonts w:hint="eastAsia"/>
          <w:u w:val="single"/>
        </w:rPr>
      </w:pPr>
      <w:r>
        <w:rPr>
          <w:rFonts w:hint="eastAsia"/>
        </w:rPr>
        <w:t>地面</w:t>
      </w:r>
      <w:r>
        <w:t>停车位数：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0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个</w:t>
      </w:r>
    </w:p>
    <w:p w14:paraId="31D3C59A">
      <w:pPr>
        <w:ind w:firstLine="420"/>
      </w:pPr>
    </w:p>
    <w:p w14:paraId="7215996D">
      <w:pPr>
        <w:ind w:firstLine="420"/>
        <w:rPr>
          <w:rFonts w:hint="eastAsia"/>
          <w:u w:val="single"/>
        </w:rPr>
      </w:pPr>
      <w:r>
        <w:rPr>
          <w:rFonts w:hint="eastAsia"/>
        </w:rPr>
        <w:t>小区住宅套数</w:t>
      </w:r>
      <w:r>
        <w:t>：</w:t>
      </w:r>
      <w:r>
        <w:rPr>
          <w:rFonts w:hint="eastAsia"/>
        </w:rPr>
        <w:t xml:space="preserve"> </w:t>
      </w:r>
      <w:r>
        <w:t xml:space="preserve">  </w:t>
      </w:r>
      <w:r>
        <w:rPr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608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套</w:t>
      </w:r>
    </w:p>
    <w:p w14:paraId="67CA43DF">
      <w:pPr>
        <w:rPr>
          <w:rFonts w:hint="eastAsia"/>
        </w:rPr>
      </w:pPr>
    </w:p>
    <w:p w14:paraId="686B82C3">
      <w:pPr>
        <w:ind w:firstLine="420"/>
      </w:pPr>
      <w:r>
        <w:rPr>
          <w:rFonts w:hint="eastAsia"/>
        </w:rPr>
        <w:t>地面停车率=地面</w:t>
      </w:r>
      <w:r>
        <w:t>停车位数</w:t>
      </w:r>
      <w:r>
        <w:rPr>
          <w:rFonts w:hint="eastAsia"/>
        </w:rPr>
        <w:t>/小区</w:t>
      </w:r>
      <w:r>
        <w:t>居住户数</w:t>
      </w:r>
    </w:p>
    <w:p w14:paraId="0471F02F">
      <w:pPr>
        <w:ind w:left="1260" w:firstLine="210" w:firstLineChars="100"/>
      </w:pPr>
    </w:p>
    <w:p w14:paraId="3077BF2D">
      <w:pPr>
        <w:ind w:left="1260" w:firstLine="210" w:firstLineChars="100"/>
        <w:rPr>
          <w:u w:val="single"/>
        </w:rPr>
      </w:pPr>
      <w:r>
        <w:rPr>
          <w:rFonts w:hint="eastAsia"/>
        </w:rPr>
        <w:t>=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0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/ </w:t>
      </w:r>
      <w:r>
        <w:rPr>
          <w:rFonts w:hint="eastAsia"/>
          <w:u w:val="single"/>
          <w:lang w:val="en-US" w:eastAsia="zh-CN"/>
        </w:rPr>
        <w:t>608</w:t>
      </w:r>
      <w:r>
        <w:rPr>
          <w:rFonts w:hint="eastAsia"/>
          <w:u w:val="single"/>
        </w:rPr>
        <w:t xml:space="preserve"> </w:t>
      </w:r>
      <w:r>
        <w:t xml:space="preserve">  =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0</w:t>
      </w:r>
      <w:r>
        <w:rPr>
          <w:u w:val="single"/>
        </w:rPr>
        <w:t xml:space="preserve">  </w:t>
      </w:r>
    </w:p>
    <w:p w14:paraId="68CC7908">
      <w:pPr>
        <w:rPr>
          <w:u w:val="single"/>
        </w:rPr>
      </w:pPr>
    </w:p>
    <w:p w14:paraId="76F4C22F">
      <w:pPr>
        <w:rPr>
          <w:u w:val="single"/>
        </w:rPr>
      </w:pPr>
    </w:p>
    <w:p w14:paraId="12B05C76">
      <w:pPr>
        <w:pStyle w:val="2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 xml:space="preserve"> 结论</w:t>
      </w:r>
    </w:p>
    <w:p w14:paraId="63CF645B">
      <w:pPr>
        <w:rPr>
          <w:rFonts w:hint="eastAsia"/>
        </w:rPr>
      </w:pPr>
      <w:r>
        <w:tab/>
      </w:r>
      <w:r>
        <w:rPr>
          <w:rFonts w:hint="eastAsia"/>
        </w:rPr>
        <w:t>经验算</w:t>
      </w:r>
      <w:r>
        <w:t>，</w:t>
      </w:r>
      <w:r>
        <w:rPr>
          <w:rFonts w:hint="eastAsia" w:asciiTheme="minorEastAsia" w:hAnsiTheme="minorEastAsia"/>
          <w:sz w:val="24"/>
          <w:szCs w:val="21"/>
        </w:rPr>
        <w:t>住宅建筑地面停车位数量与住宅总套数的比率为</w:t>
      </w:r>
      <w:r>
        <w:rPr>
          <w:rFonts w:hint="eastAsia" w:asciiTheme="minorEastAsia" w:hAnsiTheme="minorEastAsia"/>
          <w:sz w:val="24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1"/>
          <w:u w:val="single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1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1"/>
        </w:rPr>
        <w:t>，</w:t>
      </w:r>
      <w:r>
        <w:rPr>
          <w:rFonts w:asciiTheme="minorEastAsia" w:hAnsiTheme="minorEastAsia"/>
          <w:sz w:val="24"/>
          <w:szCs w:val="21"/>
        </w:rPr>
        <w:t>满足规范要求，可得</w:t>
      </w:r>
      <w:r>
        <w:rPr>
          <w:rFonts w:hint="eastAsia" w:asciiTheme="minorEastAsia" w:hAnsiTheme="minorEastAsia"/>
          <w:sz w:val="24"/>
          <w:szCs w:val="21"/>
        </w:rPr>
        <w:t>8</w:t>
      </w:r>
      <w:bookmarkStart w:id="1" w:name="_GoBack"/>
      <w:bookmarkEnd w:id="1"/>
      <w:r>
        <w:rPr>
          <w:rFonts w:hint="eastAsia" w:asciiTheme="minorEastAsia" w:hAnsiTheme="minorEastAsia"/>
          <w:sz w:val="24"/>
          <w:szCs w:val="21"/>
        </w:rPr>
        <w:t>分</w:t>
      </w:r>
      <w:r>
        <w:rPr>
          <w:rFonts w:asciiTheme="minorEastAsia" w:hAnsiTheme="minorEastAsia"/>
          <w:sz w:val="24"/>
          <w:szCs w:val="21"/>
        </w:rPr>
        <w:t>。</w:t>
      </w:r>
    </w:p>
    <w:p w14:paraId="11581346">
      <w:pPr>
        <w:rPr>
          <w:rFonts w:hint="eastAsia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6"/>
    <w:rsid w:val="00427EC4"/>
    <w:rsid w:val="00625AA6"/>
    <w:rsid w:val="00E94094"/>
    <w:rsid w:val="1286046F"/>
    <w:rsid w:val="6D5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323</Characters>
  <Lines>3</Lines>
  <Paragraphs>1</Paragraphs>
  <TotalTime>4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2020-01-10T07:36:00Z</dcterms:created>
  <dc:creator>dongYP</dc:creator>
  <cp:lastModifiedBy>孙庆华</cp:lastModifiedBy>
  <dcterms:modified xsi:type="dcterms:W3CDTF">2025-04-23T08:43:23Z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eyJoZGlkIjoiZmFjMGFiM2ZiMDU1ODBlZDBlZjc0MGExZDkyZmUwYTMiLCJ1c2VySWQiOiIxMjU1MDAzODgyIn0=</vt:lpwstr>
  </property>
  <property fmtid="{D5CDD505-2E9C-101B-9397-08002B2CF9AE}" pid="3" name="KSOProductBuildVer">
    <vt:lpwstr>2052-12.1.0.20784</vt:lpwstr>
  </property>
  <property fmtid="{D5CDD505-2E9C-101B-9397-08002B2CF9AE}" pid="4" name="ICV">
    <vt:lpwstr>59F6C25E4DB74E209FFD09B5789FCCA5_12</vt:lpwstr>
  </property>
</Properties>
</file>