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5A588">
      <w:pPr>
        <w:pStyle w:val="2"/>
        <w:jc w:val="center"/>
      </w:pPr>
      <w:bookmarkStart w:id="0" w:name="项目名称"/>
      <w:r>
        <w:rPr>
          <w:rFonts w:hint="eastAsia" w:cs="Times New Roman"/>
          <w:b/>
          <w:sz w:val="36"/>
          <w:szCs w:val="36"/>
        </w:rPr>
        <w:t>济南新旧动能转换起步区崔寨安置五区补充地块（一期）F-1地块</w:t>
      </w:r>
      <w:bookmarkEnd w:id="0"/>
    </w:p>
    <w:p w14:paraId="7A14A866">
      <w:pPr>
        <w:pStyle w:val="2"/>
        <w:jc w:val="center"/>
      </w:pPr>
    </w:p>
    <w:p w14:paraId="0E0B8BC3">
      <w:pPr>
        <w:pStyle w:val="2"/>
        <w:jc w:val="center"/>
      </w:pPr>
    </w:p>
    <w:p w14:paraId="5FAC8539">
      <w:pPr>
        <w:pStyle w:val="2"/>
        <w:jc w:val="center"/>
      </w:pPr>
    </w:p>
    <w:p w14:paraId="75D74A42">
      <w:pPr>
        <w:pStyle w:val="2"/>
        <w:jc w:val="center"/>
      </w:pPr>
      <w:r>
        <w:rPr>
          <w:rFonts w:hint="eastAsia"/>
        </w:rPr>
        <w:t>人均</w:t>
      </w:r>
      <w:r>
        <w:t>公共绿地计算书</w:t>
      </w:r>
    </w:p>
    <w:p w14:paraId="3320828B">
      <w:pPr>
        <w:rPr>
          <w:kern w:val="44"/>
          <w:sz w:val="44"/>
          <w:szCs w:val="44"/>
        </w:rPr>
      </w:pPr>
      <w:r>
        <w:br w:type="page"/>
      </w:r>
    </w:p>
    <w:p w14:paraId="5C5F5ECE">
      <w:pPr>
        <w:pStyle w:val="3"/>
      </w:pPr>
    </w:p>
    <w:p w14:paraId="19997CA2">
      <w:pPr>
        <w:pStyle w:val="3"/>
        <w:rPr>
          <w:b w:val="0"/>
          <w:u w:val="single"/>
        </w:rPr>
      </w:pPr>
      <w:r>
        <w:rPr>
          <w:rFonts w:hint="eastAsia"/>
        </w:rPr>
        <w:t>项目名称</w:t>
      </w:r>
      <w:r>
        <w:t>：</w:t>
      </w:r>
      <w:r>
        <w:rPr>
          <w:rFonts w:hint="eastAsia"/>
        </w:rPr>
        <w:t>济南新旧动能转换起步区崔寨安置五区补充地块（一期）F-1地块</w:t>
      </w:r>
    </w:p>
    <w:p w14:paraId="79610668">
      <w:pPr>
        <w:pStyle w:val="3"/>
      </w:pPr>
      <w:r>
        <w:rPr>
          <w:rFonts w:hint="eastAsia"/>
        </w:rPr>
        <w:t>对标条文：</w:t>
      </w:r>
    </w:p>
    <w:p w14:paraId="1ABF4C30">
      <w:pPr>
        <w:ind w:firstLine="405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8.2.3</w:t>
      </w:r>
      <w:r>
        <w:rPr>
          <w:rFonts w:asciiTheme="minorEastAsia" w:hAnsiTheme="minorEastAsia"/>
          <w:sz w:val="24"/>
          <w:szCs w:val="24"/>
          <w:shd w:val="clear" w:color="auto" w:fill="FFFFFF"/>
        </w:rPr>
        <w:t> 充分利用场地空间设置绿化用地，评价总分值为16分，并按下列规则评分：</w:t>
      </w:r>
    </w:p>
    <w:p w14:paraId="139D7236">
      <w:pPr>
        <w:ind w:left="405" w:firstLine="420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2)</w:t>
      </w:r>
      <w:r>
        <w:rPr>
          <w:rFonts w:asciiTheme="minorEastAsia" w:hAnsiTheme="minorEastAsia"/>
          <w:sz w:val="24"/>
          <w:szCs w:val="24"/>
          <w:shd w:val="clear" w:color="auto" w:fill="FFFFFF"/>
        </w:rPr>
        <w:t> 住宅建筑所在居住街坊内人均集中绿地面积，按表8.2.3的规则评分，最高得6 分。</w:t>
      </w:r>
    </w:p>
    <w:p w14:paraId="4A0C1698">
      <w:pPr>
        <w:widowControl/>
        <w:ind w:left="2100"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 Narrow" w:hAnsi="Arial Narrow" w:eastAsia="宋体" w:cs="宋体"/>
          <w:b/>
          <w:bCs/>
          <w:kern w:val="0"/>
          <w:szCs w:val="21"/>
          <w:shd w:val="clear" w:color="auto" w:fill="FFFFFF"/>
        </w:rPr>
        <w:t>表8.2.3   住宅人均集中绿地面积评分规则</w:t>
      </w:r>
    </w:p>
    <w:tbl>
      <w:tblPr>
        <w:tblStyle w:val="7"/>
        <w:tblW w:w="835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94"/>
        <w:gridCol w:w="3119"/>
        <w:gridCol w:w="1843"/>
      </w:tblGrid>
      <w:tr w14:paraId="1FF8D3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E857CB">
            <w:pPr>
              <w:widowControl/>
              <w:jc w:val="center"/>
              <w:rPr>
                <w:rFonts w:ascii="Arial Narrow" w:hAnsi="Arial Narrow" w:eastAsia="宋体" w:cs="宋体"/>
                <w:kern w:val="0"/>
                <w:szCs w:val="21"/>
              </w:rPr>
            </w:pPr>
            <w:r>
              <w:rPr>
                <w:rFonts w:ascii="Arial Narrow" w:hAnsi="Arial Narrow" w:eastAsia="宋体" w:cs="宋体"/>
                <w:kern w:val="0"/>
                <w:szCs w:val="21"/>
              </w:rPr>
              <w:t>住宅人均集中绿地面积A</w:t>
            </w:r>
            <w:r>
              <w:rPr>
                <w:rFonts w:ascii="Arial Narrow" w:hAnsi="Arial Narrow" w:eastAsia="宋体" w:cs="宋体"/>
                <w:kern w:val="0"/>
                <w:szCs w:val="21"/>
                <w:vertAlign w:val="subscript"/>
              </w:rPr>
              <w:t>g</w:t>
            </w:r>
            <w:r>
              <w:rPr>
                <w:rFonts w:ascii="Arial Narrow" w:hAnsi="Arial Narrow" w:eastAsia="宋体" w:cs="宋体"/>
                <w:kern w:val="0"/>
                <w:szCs w:val="21"/>
              </w:rPr>
              <w:t>（m</w:t>
            </w:r>
            <w:r>
              <w:rPr>
                <w:rFonts w:ascii="Arial Narrow" w:hAnsi="Arial Narrow" w:eastAsia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ascii="Arial Narrow" w:hAnsi="Arial Narrow" w:eastAsia="宋体" w:cs="宋体"/>
                <w:kern w:val="0"/>
                <w:szCs w:val="21"/>
              </w:rPr>
              <w:t>/人）</w:t>
            </w:r>
          </w:p>
        </w:tc>
        <w:tc>
          <w:tcPr>
            <w:tcW w:w="184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E00956">
            <w:pPr>
              <w:widowControl/>
              <w:jc w:val="center"/>
              <w:rPr>
                <w:rFonts w:ascii="Arial Narrow" w:hAnsi="Arial Narrow" w:eastAsia="宋体" w:cs="宋体"/>
                <w:kern w:val="0"/>
                <w:szCs w:val="21"/>
              </w:rPr>
            </w:pPr>
            <w:r>
              <w:rPr>
                <w:rFonts w:ascii="Arial Narrow" w:hAnsi="Arial Narrow" w:eastAsia="宋体" w:cs="宋体"/>
                <w:kern w:val="0"/>
                <w:szCs w:val="21"/>
              </w:rPr>
              <w:t>得分</w:t>
            </w:r>
          </w:p>
        </w:tc>
      </w:tr>
      <w:tr w14:paraId="3CAAC0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D49B5C">
            <w:pPr>
              <w:widowControl/>
              <w:jc w:val="center"/>
              <w:rPr>
                <w:rFonts w:ascii="Arial Narrow" w:hAnsi="Arial Narrow" w:eastAsia="宋体" w:cs="宋体"/>
                <w:kern w:val="0"/>
                <w:szCs w:val="21"/>
              </w:rPr>
            </w:pPr>
            <w:r>
              <w:rPr>
                <w:rFonts w:ascii="Arial Narrow" w:hAnsi="Arial Narrow" w:eastAsia="宋体" w:cs="宋体"/>
                <w:kern w:val="0"/>
                <w:szCs w:val="21"/>
              </w:rPr>
              <w:t>新区建设</w:t>
            </w:r>
          </w:p>
        </w:tc>
        <w:tc>
          <w:tcPr>
            <w:tcW w:w="31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2D5C4B">
            <w:pPr>
              <w:widowControl/>
              <w:jc w:val="center"/>
              <w:rPr>
                <w:rFonts w:ascii="Arial Narrow" w:hAnsi="Arial Narrow" w:eastAsia="宋体" w:cs="宋体"/>
                <w:kern w:val="0"/>
                <w:szCs w:val="21"/>
              </w:rPr>
            </w:pPr>
            <w:r>
              <w:rPr>
                <w:rFonts w:ascii="Arial Narrow" w:hAnsi="Arial Narrow" w:eastAsia="宋体" w:cs="宋体"/>
                <w:kern w:val="0"/>
                <w:szCs w:val="21"/>
              </w:rPr>
              <w:t>旧区改建</w:t>
            </w:r>
          </w:p>
        </w:tc>
        <w:tc>
          <w:tcPr>
            <w:tcW w:w="18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578D65">
            <w:pPr>
              <w:widowControl/>
              <w:jc w:val="left"/>
              <w:rPr>
                <w:rFonts w:ascii="Arial Narrow" w:hAnsi="Arial Narrow" w:eastAsia="宋体" w:cs="宋体"/>
                <w:kern w:val="0"/>
                <w:szCs w:val="21"/>
              </w:rPr>
            </w:pPr>
          </w:p>
        </w:tc>
      </w:tr>
      <w:tr w14:paraId="76ABB8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44C021">
            <w:pPr>
              <w:widowControl/>
              <w:jc w:val="center"/>
              <w:rPr>
                <w:rFonts w:ascii="Arial Narrow" w:hAnsi="Arial Narrow" w:eastAsia="宋体" w:cs="宋体"/>
                <w:kern w:val="0"/>
                <w:szCs w:val="21"/>
              </w:rPr>
            </w:pPr>
            <w:r>
              <w:rPr>
                <w:rFonts w:ascii="Arial Narrow" w:hAnsi="Arial Narrow" w:eastAsia="宋体" w:cs="宋体"/>
                <w:kern w:val="0"/>
                <w:szCs w:val="21"/>
              </w:rPr>
              <w:t>0.50</w:t>
            </w:r>
          </w:p>
        </w:tc>
        <w:tc>
          <w:tcPr>
            <w:tcW w:w="31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5DF2DD">
            <w:pPr>
              <w:widowControl/>
              <w:jc w:val="center"/>
              <w:rPr>
                <w:rFonts w:ascii="Arial Narrow" w:hAnsi="Arial Narrow" w:eastAsia="宋体" w:cs="宋体"/>
                <w:kern w:val="0"/>
                <w:szCs w:val="21"/>
              </w:rPr>
            </w:pPr>
            <w:r>
              <w:rPr>
                <w:rFonts w:ascii="Arial Narrow" w:hAnsi="Arial Narrow" w:eastAsia="宋体" w:cs="宋体"/>
                <w:kern w:val="0"/>
                <w:szCs w:val="21"/>
              </w:rPr>
              <w:t>0.35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045C9D">
            <w:pPr>
              <w:widowControl/>
              <w:jc w:val="center"/>
              <w:rPr>
                <w:rFonts w:ascii="Arial Narrow" w:hAnsi="Arial Narrow" w:eastAsia="宋体" w:cs="宋体"/>
                <w:kern w:val="0"/>
                <w:szCs w:val="21"/>
              </w:rPr>
            </w:pPr>
            <w:r>
              <w:rPr>
                <w:rFonts w:ascii="Arial Narrow" w:hAnsi="Arial Narrow" w:eastAsia="宋体" w:cs="宋体"/>
                <w:kern w:val="0"/>
                <w:szCs w:val="21"/>
              </w:rPr>
              <w:t>2</w:t>
            </w:r>
          </w:p>
        </w:tc>
      </w:tr>
      <w:tr w14:paraId="58994B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B8920F">
            <w:pPr>
              <w:widowControl/>
              <w:jc w:val="center"/>
              <w:rPr>
                <w:rFonts w:ascii="Arial Narrow" w:hAnsi="Arial Narrow" w:eastAsia="宋体" w:cs="宋体"/>
                <w:kern w:val="0"/>
                <w:szCs w:val="21"/>
              </w:rPr>
            </w:pPr>
            <w:r>
              <w:rPr>
                <w:rFonts w:ascii="Arial Narrow" w:hAnsi="Arial Narrow" w:eastAsia="宋体" w:cs="宋体"/>
                <w:kern w:val="0"/>
                <w:szCs w:val="21"/>
              </w:rPr>
              <w:t>0.50＜A</w:t>
            </w:r>
            <w:r>
              <w:rPr>
                <w:rFonts w:ascii="Arial Narrow" w:hAnsi="Arial Narrow" w:eastAsia="宋体" w:cs="宋体"/>
                <w:kern w:val="0"/>
                <w:szCs w:val="21"/>
                <w:vertAlign w:val="subscript"/>
              </w:rPr>
              <w:t>g</w:t>
            </w:r>
            <w:r>
              <w:rPr>
                <w:rFonts w:ascii="Arial Narrow" w:hAnsi="Arial Narrow" w:eastAsia="宋体" w:cs="宋体"/>
                <w:kern w:val="0"/>
                <w:szCs w:val="21"/>
              </w:rPr>
              <w:t>＜0.60</w:t>
            </w:r>
          </w:p>
        </w:tc>
        <w:tc>
          <w:tcPr>
            <w:tcW w:w="31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AB1B9D">
            <w:pPr>
              <w:widowControl/>
              <w:jc w:val="center"/>
              <w:rPr>
                <w:rFonts w:ascii="Arial Narrow" w:hAnsi="Arial Narrow" w:eastAsia="宋体" w:cs="宋体"/>
                <w:kern w:val="0"/>
                <w:szCs w:val="21"/>
              </w:rPr>
            </w:pPr>
            <w:r>
              <w:rPr>
                <w:rFonts w:ascii="Arial Narrow" w:hAnsi="Arial Narrow" w:eastAsia="宋体" w:cs="宋体"/>
                <w:kern w:val="0"/>
                <w:szCs w:val="21"/>
              </w:rPr>
              <w:t>0.35＜A</w:t>
            </w:r>
            <w:r>
              <w:rPr>
                <w:rFonts w:ascii="Arial Narrow" w:hAnsi="Arial Narrow" w:eastAsia="宋体" w:cs="宋体"/>
                <w:kern w:val="0"/>
                <w:szCs w:val="21"/>
                <w:vertAlign w:val="subscript"/>
              </w:rPr>
              <w:t>g</w:t>
            </w:r>
            <w:r>
              <w:rPr>
                <w:rFonts w:ascii="Arial Narrow" w:hAnsi="Arial Narrow" w:eastAsia="宋体" w:cs="宋体"/>
                <w:kern w:val="0"/>
                <w:szCs w:val="21"/>
              </w:rPr>
              <w:t>＜0.45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1FFCD7">
            <w:pPr>
              <w:widowControl/>
              <w:jc w:val="center"/>
              <w:rPr>
                <w:rFonts w:ascii="Arial Narrow" w:hAnsi="Arial Narrow" w:eastAsia="宋体" w:cs="宋体"/>
                <w:kern w:val="0"/>
                <w:szCs w:val="21"/>
              </w:rPr>
            </w:pPr>
            <w:r>
              <w:rPr>
                <w:rFonts w:ascii="Arial Narrow" w:hAnsi="Arial Narrow" w:eastAsia="宋体" w:cs="宋体"/>
                <w:kern w:val="0"/>
                <w:szCs w:val="21"/>
              </w:rPr>
              <w:t>4</w:t>
            </w:r>
          </w:p>
        </w:tc>
      </w:tr>
      <w:tr w14:paraId="6BA88A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0F2C66">
            <w:pPr>
              <w:widowControl/>
              <w:jc w:val="center"/>
              <w:rPr>
                <w:rFonts w:ascii="Arial Narrow" w:hAnsi="Arial Narrow" w:eastAsia="宋体" w:cs="宋体"/>
                <w:kern w:val="0"/>
                <w:szCs w:val="21"/>
              </w:rPr>
            </w:pPr>
            <w:r>
              <w:rPr>
                <w:rFonts w:ascii="Arial Narrow" w:hAnsi="Arial Narrow" w:eastAsia="宋体" w:cs="宋体"/>
                <w:kern w:val="0"/>
                <w:szCs w:val="21"/>
              </w:rPr>
              <w:t>A</w:t>
            </w:r>
            <w:r>
              <w:rPr>
                <w:rFonts w:ascii="Arial Narrow" w:hAnsi="Arial Narrow" w:eastAsia="宋体" w:cs="宋体"/>
                <w:kern w:val="0"/>
                <w:szCs w:val="21"/>
                <w:vertAlign w:val="subscript"/>
              </w:rPr>
              <w:t>g</w:t>
            </w:r>
            <w:r>
              <w:rPr>
                <w:rFonts w:ascii="Arial Narrow" w:hAnsi="Arial Narrow" w:eastAsia="宋体" w:cs="宋体"/>
                <w:kern w:val="0"/>
                <w:szCs w:val="21"/>
              </w:rPr>
              <w:t>≥0.60</w:t>
            </w:r>
          </w:p>
        </w:tc>
        <w:tc>
          <w:tcPr>
            <w:tcW w:w="31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3A7BF3">
            <w:pPr>
              <w:widowControl/>
              <w:jc w:val="center"/>
              <w:rPr>
                <w:rFonts w:ascii="Arial Narrow" w:hAnsi="Arial Narrow" w:eastAsia="宋体" w:cs="宋体"/>
                <w:kern w:val="0"/>
                <w:szCs w:val="21"/>
              </w:rPr>
            </w:pPr>
            <w:r>
              <w:rPr>
                <w:rFonts w:ascii="Arial Narrow" w:hAnsi="Arial Narrow" w:eastAsia="宋体" w:cs="宋体"/>
                <w:kern w:val="0"/>
                <w:szCs w:val="21"/>
              </w:rPr>
              <w:t>A</w:t>
            </w:r>
            <w:r>
              <w:rPr>
                <w:rFonts w:ascii="Arial Narrow" w:hAnsi="Arial Narrow" w:eastAsia="宋体" w:cs="宋体"/>
                <w:kern w:val="0"/>
                <w:szCs w:val="21"/>
                <w:vertAlign w:val="subscript"/>
              </w:rPr>
              <w:t>g</w:t>
            </w:r>
            <w:r>
              <w:rPr>
                <w:rFonts w:ascii="Arial Narrow" w:hAnsi="Arial Narrow" w:eastAsia="宋体" w:cs="宋体"/>
                <w:kern w:val="0"/>
                <w:szCs w:val="21"/>
              </w:rPr>
              <w:t>≥0.45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C7D64D">
            <w:pPr>
              <w:widowControl/>
              <w:jc w:val="center"/>
              <w:rPr>
                <w:rFonts w:ascii="Arial Narrow" w:hAnsi="Arial Narrow" w:eastAsia="宋体" w:cs="宋体"/>
                <w:kern w:val="0"/>
                <w:szCs w:val="21"/>
              </w:rPr>
            </w:pPr>
            <w:r>
              <w:rPr>
                <w:rFonts w:ascii="Arial Narrow" w:hAnsi="Arial Narrow" w:eastAsia="宋体" w:cs="宋体"/>
                <w:kern w:val="0"/>
                <w:szCs w:val="21"/>
              </w:rPr>
              <w:t>6</w:t>
            </w:r>
          </w:p>
        </w:tc>
      </w:tr>
    </w:tbl>
    <w:p w14:paraId="4FE497E9">
      <w:pPr>
        <w:ind w:firstLine="405"/>
      </w:pPr>
    </w:p>
    <w:p w14:paraId="0E3EE1AF">
      <w:pPr>
        <w:pStyle w:val="3"/>
      </w:pPr>
      <w:r>
        <w:rPr>
          <w:rFonts w:hint="eastAsia"/>
        </w:rPr>
        <w:t>项目概况</w:t>
      </w:r>
      <w:r>
        <w:t>：</w:t>
      </w:r>
    </w:p>
    <w:p w14:paraId="303FE25A">
      <w:r>
        <w:tab/>
      </w:r>
      <w:r>
        <w:rPr>
          <w:rFonts w:hint="eastAsia"/>
        </w:rPr>
        <w:t>项目</w:t>
      </w:r>
      <w:r>
        <w:t>位于</w:t>
      </w:r>
      <w:r>
        <w:rPr>
          <w:rFonts w:hint="eastAsia"/>
          <w:lang w:val="en-US" w:eastAsia="zh-CN"/>
        </w:rPr>
        <w:t>济南</w:t>
      </w:r>
      <w:r>
        <w:t>市</w:t>
      </w:r>
      <w:r>
        <w:rPr>
          <w:rFonts w:hint="eastAsia"/>
          <w:lang w:val="en-US" w:eastAsia="zh-CN"/>
        </w:rPr>
        <w:t>起步区崔寨安置五区</w:t>
      </w:r>
      <w:r>
        <w:rPr>
          <w:rFonts w:hint="eastAsia"/>
        </w:rPr>
        <w:t>。</w:t>
      </w:r>
      <w:r>
        <w:t>该项目</w:t>
      </w:r>
      <w:r>
        <w:rPr>
          <w:rFonts w:hint="eastAsia"/>
        </w:rPr>
        <w:t>总用地</w:t>
      </w:r>
      <w:r>
        <w:t>面积为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28634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平方米</w:t>
      </w:r>
      <w:r>
        <w:t>，建筑面积</w:t>
      </w:r>
      <w:r>
        <w:rPr>
          <w:rFonts w:hint="eastAsia"/>
          <w:u w:val="single"/>
        </w:rPr>
        <w:t xml:space="preserve"> 1</w:t>
      </w:r>
      <w:r>
        <w:rPr>
          <w:rFonts w:hint="eastAsia"/>
          <w:u w:val="single"/>
          <w:lang w:val="en-US" w:eastAsia="zh-CN"/>
        </w:rPr>
        <w:t>00648.06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平方米</w:t>
      </w:r>
      <w:r>
        <w:t>，总户数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608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，</w:t>
      </w:r>
      <w:r>
        <w:t>总人数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1055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人</w:t>
      </w:r>
      <w:r>
        <w:t>，绿地率为</w:t>
      </w:r>
      <w:r>
        <w:rPr>
          <w:rFonts w:hint="eastAsia"/>
          <w:u w:val="single"/>
        </w:rPr>
        <w:t xml:space="preserve"> 3</w:t>
      </w:r>
      <w:r>
        <w:rPr>
          <w:rFonts w:hint="eastAsia"/>
          <w:u w:val="single"/>
          <w:lang w:val="en-US" w:eastAsia="zh-CN"/>
        </w:rPr>
        <w:t>5.1</w:t>
      </w:r>
      <w:r>
        <w:rPr>
          <w:u w:val="single"/>
        </w:rPr>
        <w:t xml:space="preserve">% </w:t>
      </w:r>
      <w:r>
        <w:rPr>
          <w:rFonts w:hint="eastAsia"/>
        </w:rPr>
        <w:t>。</w:t>
      </w:r>
    </w:p>
    <w:p w14:paraId="7566483E">
      <w:pPr>
        <w:rPr>
          <w:rFonts w:hint="eastAsia"/>
        </w:rPr>
      </w:pPr>
      <w:r>
        <w:rPr>
          <w:rFonts w:hint="eastAsia"/>
        </w:rPr>
        <w:t>.</w:t>
      </w:r>
    </w:p>
    <w:p w14:paraId="009C5E06"/>
    <w:p w14:paraId="43C348F8">
      <w:pPr>
        <w:pStyle w:val="3"/>
      </w:pPr>
      <w:r>
        <w:rPr>
          <w:rFonts w:hint="eastAsia"/>
        </w:rPr>
        <w:t>人均集中绿地面积计算</w:t>
      </w:r>
      <w:r>
        <w:t>：</w:t>
      </w:r>
    </w:p>
    <w:p w14:paraId="7B34AB97">
      <w:pPr>
        <w:rPr>
          <w:rFonts w:hint="eastAsia"/>
        </w:rPr>
      </w:pPr>
      <w:r>
        <w:tab/>
      </w:r>
      <w:r>
        <w:rPr>
          <w:rFonts w:hint="eastAsia"/>
        </w:rPr>
        <w:t>根据</w:t>
      </w:r>
      <w:r>
        <w:t>总图及景观图纸等，本</w:t>
      </w:r>
      <w:r>
        <w:rPr>
          <w:rFonts w:hint="eastAsia"/>
          <w:lang w:val="en-US" w:eastAsia="zh-CN"/>
        </w:rPr>
        <w:t>项</w:t>
      </w:r>
      <w:r>
        <w:t>目满足公共绿地要求的绿地面积为</w:t>
      </w:r>
      <w:r>
        <w:rPr>
          <w:rFonts w:hint="eastAsia"/>
          <w:lang w:val="en-US" w:eastAsia="zh-CN"/>
        </w:rPr>
        <w:t>1200</w:t>
      </w:r>
      <w:r>
        <w:rPr>
          <w:rFonts w:hint="eastAsia"/>
        </w:rPr>
        <w:t>㎡</w:t>
      </w:r>
      <w:r>
        <w:t>。</w:t>
      </w:r>
    </w:p>
    <w:p w14:paraId="4B4BD47A"/>
    <w:p w14:paraId="75BEC7D5">
      <w:pPr>
        <w:ind w:firstLine="420"/>
        <w:rPr>
          <w:rFonts w:hint="default" w:eastAsiaTheme="minorEastAsia"/>
          <w:lang w:val="en-US" w:eastAsia="zh-CN"/>
        </w:rPr>
      </w:pPr>
      <w:r>
        <w:rPr>
          <w:rFonts w:ascii="Arial Narrow" w:hAnsi="Arial Narrow" w:eastAsia="宋体" w:cs="宋体"/>
          <w:kern w:val="0"/>
          <w:szCs w:val="21"/>
        </w:rPr>
        <w:t>住宅人均集中绿地面积A</w:t>
      </w:r>
      <w:r>
        <w:rPr>
          <w:rFonts w:ascii="Arial Narrow" w:hAnsi="Arial Narrow" w:eastAsia="宋体" w:cs="宋体"/>
          <w:kern w:val="0"/>
          <w:szCs w:val="21"/>
          <w:vertAlign w:val="subscript"/>
        </w:rPr>
        <w:t xml:space="preserve">g  </w:t>
      </w:r>
      <w:r>
        <w:t xml:space="preserve">= </w:t>
      </w:r>
      <w:r>
        <w:rPr>
          <w:rFonts w:hint="eastAsia"/>
          <w:lang w:val="en-US" w:eastAsia="zh-CN"/>
        </w:rPr>
        <w:t>1200</w:t>
      </w:r>
      <w:r>
        <w:t xml:space="preserve"> / </w:t>
      </w:r>
      <w:r>
        <w:rPr>
          <w:rFonts w:hint="eastAsia"/>
          <w:lang w:val="en-US" w:eastAsia="zh-CN"/>
        </w:rPr>
        <w:t>1055</w:t>
      </w:r>
      <w:r>
        <w:t xml:space="preserve"> =1</w:t>
      </w:r>
      <w:r>
        <w:rPr>
          <w:rFonts w:hint="eastAsia"/>
          <w:lang w:val="en-US" w:eastAsia="zh-CN"/>
        </w:rPr>
        <w:t>.13</w:t>
      </w:r>
    </w:p>
    <w:p w14:paraId="7AD96272">
      <w:pPr>
        <w:ind w:firstLine="420"/>
      </w:pPr>
    </w:p>
    <w:p w14:paraId="4CF4BD4A">
      <w:pPr>
        <w:pStyle w:val="3"/>
      </w:pPr>
      <w:r>
        <w:rPr>
          <w:rFonts w:hint="eastAsia"/>
        </w:rPr>
        <w:t>结论</w:t>
      </w:r>
      <w:r>
        <w:t>：</w:t>
      </w:r>
      <w:bookmarkStart w:id="1" w:name="_GoBack"/>
      <w:bookmarkEnd w:id="1"/>
    </w:p>
    <w:p w14:paraId="1E5D45CB">
      <w:pPr>
        <w:ind w:firstLine="420"/>
        <w:rPr>
          <w:rFonts w:hint="eastAsia"/>
        </w:rPr>
      </w:pPr>
      <w:r>
        <w:rPr>
          <w:rFonts w:hint="eastAsia"/>
        </w:rPr>
        <w:t>本项目</w:t>
      </w:r>
      <w:r>
        <w:rPr>
          <w:rFonts w:ascii="Arial Narrow" w:hAnsi="Arial Narrow" w:eastAsia="宋体" w:cs="宋体"/>
          <w:kern w:val="0"/>
          <w:szCs w:val="21"/>
        </w:rPr>
        <w:t>住宅人均集中绿地面积</w:t>
      </w:r>
      <w:r>
        <w:rPr>
          <w:rFonts w:hint="eastAsia" w:ascii="Arial Narrow" w:hAnsi="Arial Narrow" w:eastAsia="宋体" w:cs="宋体"/>
          <w:kern w:val="0"/>
          <w:szCs w:val="21"/>
        </w:rPr>
        <w:t>为1.</w:t>
      </w:r>
      <w:r>
        <w:rPr>
          <w:rFonts w:hint="eastAsia" w:ascii="Arial Narrow" w:hAnsi="Arial Narrow" w:eastAsia="宋体" w:cs="宋体"/>
          <w:kern w:val="0"/>
          <w:szCs w:val="21"/>
          <w:lang w:val="en-US" w:eastAsia="zh-CN"/>
        </w:rPr>
        <w:t>13</w:t>
      </w:r>
      <w:r>
        <w:rPr>
          <w:rFonts w:hint="eastAsia" w:ascii="Arial Narrow" w:hAnsi="Arial Narrow" w:eastAsia="宋体" w:cs="宋体"/>
          <w:kern w:val="0"/>
          <w:szCs w:val="21"/>
        </w:rPr>
        <w:t>㎡</w:t>
      </w:r>
      <w:r>
        <w:rPr>
          <w:rFonts w:ascii="Arial Narrow" w:hAnsi="Arial Narrow" w:eastAsia="宋体" w:cs="宋体"/>
          <w:kern w:val="0"/>
          <w:szCs w:val="21"/>
        </w:rPr>
        <w:t>，满足《</w:t>
      </w:r>
      <w:r>
        <w:rPr>
          <w:rFonts w:hint="eastAsia" w:ascii="Arial Narrow" w:hAnsi="Arial Narrow" w:eastAsia="宋体" w:cs="宋体"/>
          <w:kern w:val="0"/>
          <w:szCs w:val="21"/>
        </w:rPr>
        <w:t>绿色建筑</w:t>
      </w:r>
      <w:r>
        <w:rPr>
          <w:rFonts w:ascii="Arial Narrow" w:hAnsi="Arial Narrow" w:eastAsia="宋体" w:cs="宋体"/>
          <w:kern w:val="0"/>
          <w:szCs w:val="21"/>
        </w:rPr>
        <w:t>评价标准》</w:t>
      </w:r>
      <w:r>
        <w:rPr>
          <w:rFonts w:hint="eastAsia" w:ascii="Arial Narrow" w:hAnsi="Arial Narrow" w:eastAsia="宋体" w:cs="宋体"/>
          <w:kern w:val="0"/>
          <w:szCs w:val="21"/>
        </w:rPr>
        <w:t>GB/T</w:t>
      </w:r>
      <w:r>
        <w:rPr>
          <w:rFonts w:ascii="Arial Narrow" w:hAnsi="Arial Narrow" w:eastAsia="宋体" w:cs="宋体"/>
          <w:kern w:val="0"/>
          <w:szCs w:val="21"/>
        </w:rPr>
        <w:t xml:space="preserve">50378-2019 </w:t>
      </w:r>
      <w:r>
        <w:rPr>
          <w:rFonts w:hint="eastAsia" w:ascii="Arial Narrow" w:hAnsi="Arial Narrow" w:eastAsia="宋体" w:cs="宋体"/>
          <w:kern w:val="0"/>
          <w:szCs w:val="21"/>
        </w:rPr>
        <w:t>第 8.2.3条</w:t>
      </w:r>
      <w:r>
        <w:rPr>
          <w:rFonts w:ascii="Arial Narrow" w:hAnsi="Arial Narrow" w:eastAsia="宋体" w:cs="宋体"/>
          <w:kern w:val="0"/>
          <w:szCs w:val="21"/>
        </w:rPr>
        <w:t>的要求，得</w:t>
      </w:r>
      <w:r>
        <w:rPr>
          <w:rFonts w:hint="eastAsia" w:ascii="Arial Narrow" w:hAnsi="Arial Narrow" w:eastAsia="宋体" w:cs="宋体"/>
          <w:kern w:val="0"/>
          <w:szCs w:val="21"/>
        </w:rPr>
        <w:t>6分</w:t>
      </w:r>
      <w:r>
        <w:rPr>
          <w:rFonts w:ascii="Arial Narrow" w:hAnsi="Arial Narrow" w:eastAsia="宋体" w:cs="宋体"/>
          <w:kern w:val="0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8F"/>
    <w:rsid w:val="004E628F"/>
    <w:rsid w:val="005456E8"/>
    <w:rsid w:val="0081682C"/>
    <w:rsid w:val="00E94094"/>
    <w:rsid w:val="00FD5F26"/>
    <w:rsid w:val="238B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2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2">
    <w:name w:val="副标题 Char"/>
    <w:basedOn w:val="8"/>
    <w:link w:val="6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3">
    <w:name w:val="Subtle Emphasis"/>
    <w:basedOn w:val="8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4">
    <w:name w:val="标题 2 Char"/>
    <w:basedOn w:val="8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306</Words>
  <Characters>397</Characters>
  <Lines>3</Lines>
  <Paragraphs>1</Paragraphs>
  <TotalTime>9</TotalTime>
  <ScaleCrop>false</ScaleCrop>
  <LinksUpToDate>false</LinksUpToDate>
  <CharactersWithSpaces>459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2020-01-10T08:20:00Z</dcterms:created>
  <dc:creator>dongYP</dc:creator>
  <cp:lastModifiedBy>孙庆华</cp:lastModifiedBy>
  <dcterms:modified xsi:type="dcterms:W3CDTF">2025-04-23T06:59:52Z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eyJoZGlkIjoiZmFjMGFiM2ZiMDU1ODBlZDBlZjc0MGExZDkyZmUwYTMiLCJ1c2VySWQiOiIxMjU1MDAzODgyIn0=</vt:lpwstr>
  </property>
  <property fmtid="{D5CDD505-2E9C-101B-9397-08002B2CF9AE}" pid="3" name="KSOProductBuildVer">
    <vt:lpwstr>2052-12.1.0.20784</vt:lpwstr>
  </property>
  <property fmtid="{D5CDD505-2E9C-101B-9397-08002B2CF9AE}" pid="4" name="ICV">
    <vt:lpwstr>9D97BB19871547519C139CCF9E68EDA1_12</vt:lpwstr>
  </property>
</Properties>
</file>