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宋体"/>
          <w:kern w:val="0"/>
          <w:sz w:val="24"/>
          <w:szCs w:val="24"/>
        </w:rPr>
        <w:id w:val="64697543"/>
      </w:sdtPr>
      <w:sdtEndPr>
        <w:rPr>
          <w:rFonts w:ascii="Times New Roman" w:hAnsi="Times New Roman" w:cs="Times New Roman" w:eastAsiaTheme="minorEastAsia"/>
          <w:kern w:val="0"/>
          <w:sz w:val="24"/>
          <w:szCs w:val="24"/>
        </w:rPr>
      </w:sdtEndPr>
      <w:sdtContent>
        <w:p w14:paraId="4112E239">
          <w:pPr>
            <w:spacing w:before="234"/>
            <w:ind w:left="790" w:right="790"/>
            <w:jc w:val="center"/>
            <w:rPr>
              <w:rFonts w:ascii="宋体" w:hAnsi="宋体" w:eastAsia="宋体"/>
            </w:rPr>
          </w:pPr>
        </w:p>
        <w:p w14:paraId="687AEA46">
          <w:pPr>
            <w:pStyle w:val="2"/>
            <w:spacing w:after="312"/>
            <w:jc w:val="center"/>
            <w:rPr>
              <w:rFonts w:hint="eastAsia" w:cs="Times New Roman"/>
              <w:b/>
              <w:kern w:val="0"/>
              <w:sz w:val="36"/>
              <w:szCs w:val="36"/>
              <w:lang w:val="en-GB"/>
            </w:rPr>
          </w:pPr>
          <w:r>
            <w:rPr>
              <w:rFonts w:hint="eastAsia" w:cs="Times New Roman"/>
              <w:b/>
              <w:kern w:val="0"/>
              <w:sz w:val="36"/>
              <w:szCs w:val="36"/>
              <w:lang w:val="en-GB"/>
            </w:rPr>
            <w:t>济南新旧动能转换起步区褚家村、崔寨村等城中村改造项目 F-1地块</w:t>
          </w:r>
        </w:p>
        <w:p w14:paraId="2B83DB8F">
          <w:pPr>
            <w:pStyle w:val="6"/>
            <w:rPr>
              <w:rFonts w:ascii="Calibri"/>
              <w:sz w:val="20"/>
            </w:rPr>
          </w:pPr>
        </w:p>
        <w:p w14:paraId="0A744E0F"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 w14:paraId="2AE33E83"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hint="eastAsia" w:ascii="黑体" w:eastAsia="黑体"/>
              <w:b/>
              <w:bCs/>
              <w:sz w:val="48"/>
            </w:rPr>
            <w:t>预制构件用量比例计算书</w:t>
          </w:r>
        </w:p>
        <w:p w14:paraId="6AE1EFBE">
          <w:pPr>
            <w:spacing w:before="120" w:line="360" w:lineRule="auto"/>
            <w:jc w:val="center"/>
            <w:rPr>
              <w:rFonts w:ascii="宋体" w:hAnsi="宋体" w:eastAsia="宋体"/>
            </w:rPr>
          </w:pPr>
        </w:p>
        <w:p w14:paraId="78B74927">
          <w:pPr>
            <w:jc w:val="center"/>
            <w:rPr>
              <w:lang w:val="zh-CN"/>
            </w:rPr>
          </w:pPr>
        </w:p>
        <w:p w14:paraId="67016C37">
          <w:pPr>
            <w:spacing w:before="120" w:line="360" w:lineRule="auto"/>
            <w:jc w:val="both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 w14:paraId="321FF131">
          <w:pPr>
            <w:pStyle w:val="6"/>
            <w:jc w:val="both"/>
            <w:rPr>
              <w:rFonts w:ascii="黑体" w:eastAsia="黑体"/>
              <w:sz w:val="30"/>
              <w:szCs w:val="30"/>
            </w:rPr>
          </w:pPr>
        </w:p>
        <w:p w14:paraId="0E74B61A"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 w14:paraId="6782BB35">
          <w:pPr>
            <w:widowControl/>
            <w:jc w:val="left"/>
            <w:rPr>
              <w:rFonts w:ascii="Times New Roman" w:hAnsi="Times New Roman" w:eastAsia="宋体"/>
            </w:rPr>
          </w:pPr>
        </w:p>
        <w:tbl>
          <w:tblPr>
            <w:tblStyle w:val="32"/>
            <w:tblW w:w="0" w:type="auto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263"/>
            <w:gridCol w:w="456"/>
            <w:gridCol w:w="5311"/>
          </w:tblGrid>
          <w:tr w14:paraId="4A215486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0516273A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工程地点</w:t>
                </w:r>
              </w:p>
            </w:tc>
            <w:tc>
              <w:tcPr>
                <w:tcW w:w="456" w:type="dxa"/>
              </w:tcPr>
              <w:p w14:paraId="3DEB8415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nil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0F36F352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</w:p>
            </w:tc>
          </w:tr>
          <w:tr w14:paraId="30D0B507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7BB47A4F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建设单位</w:t>
                </w:r>
              </w:p>
            </w:tc>
            <w:tc>
              <w:tcPr>
                <w:tcW w:w="456" w:type="dxa"/>
              </w:tcPr>
              <w:p w14:paraId="55C51C8A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nil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05E4AD15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bookmarkStart w:id="0" w:name="建设单位"/>
                <w:r>
                  <w:rPr>
                    <w:rFonts w:hint="eastAsia" w:cs="Times New Roman"/>
                    <w:sz w:val="24"/>
                    <w:szCs w:val="24"/>
                  </w:rPr>
                  <w:t>济南新旧动能转换起步区管理委员会崔寨街道办事处</w:t>
                </w:r>
                <w:bookmarkEnd w:id="0"/>
              </w:p>
            </w:tc>
          </w:tr>
          <w:tr w14:paraId="4DBF6335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51BDA270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  <w:lang w:val="en-US" w:eastAsia="zh-CN"/>
                  </w:rPr>
                  <w:t>咨询</w:t>
                </w:r>
                <w:r>
                  <w:rPr>
                    <w:rFonts w:hint="eastAsia" w:cs="Times New Roman"/>
                    <w:sz w:val="24"/>
                    <w:szCs w:val="24"/>
                  </w:rPr>
                  <w:t>单位</w:t>
                </w:r>
              </w:p>
            </w:tc>
            <w:tc>
              <w:tcPr>
                <w:tcW w:w="456" w:type="dxa"/>
              </w:tcPr>
              <w:p w14:paraId="730D74CE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single" w:color="7E7E7E" w:themeColor="text1" w:themeTint="80" w:sz="4" w:space="0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66470609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bookmarkStart w:id="1" w:name="设计单位"/>
                <w:r>
                  <w:rPr>
                    <w:rFonts w:hint="eastAsia" w:cs="Times New Roman"/>
                    <w:sz w:val="24"/>
                    <w:szCs w:val="24"/>
                    <w:lang w:val="en-US" w:eastAsia="zh-CN"/>
                  </w:rPr>
                  <w:t>山东省建筑设计研究院</w:t>
                </w:r>
                <w:r>
                  <w:rPr>
                    <w:rFonts w:hint="eastAsia" w:cs="Times New Roman"/>
                    <w:sz w:val="24"/>
                    <w:szCs w:val="24"/>
                  </w:rPr>
                  <w:t>有限公司</w:t>
                </w:r>
                <w:bookmarkEnd w:id="1"/>
              </w:p>
            </w:tc>
          </w:tr>
          <w:tr w14:paraId="24BC68E4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424DBD39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设计人</w:t>
                </w:r>
              </w:p>
            </w:tc>
            <w:tc>
              <w:tcPr>
                <w:tcW w:w="456" w:type="dxa"/>
              </w:tcPr>
              <w:p w14:paraId="3B610CCC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single" w:color="7E7E7E" w:themeColor="text1" w:themeTint="80" w:sz="4" w:space="0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1534C6D4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</w:p>
            </w:tc>
          </w:tr>
          <w:tr w14:paraId="1E3E7952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6B10BD4E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校对人</w:t>
                </w:r>
              </w:p>
            </w:tc>
            <w:tc>
              <w:tcPr>
                <w:tcW w:w="456" w:type="dxa"/>
              </w:tcPr>
              <w:p w14:paraId="7C3B484D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single" w:color="7E7E7E" w:themeColor="text1" w:themeTint="80" w:sz="4" w:space="0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0951B2A1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</w:p>
            </w:tc>
          </w:tr>
          <w:tr w14:paraId="3D735D79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5DC1066B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审定人</w:t>
                </w:r>
              </w:p>
            </w:tc>
            <w:tc>
              <w:tcPr>
                <w:tcW w:w="456" w:type="dxa"/>
              </w:tcPr>
              <w:p w14:paraId="51202996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：</w:t>
                </w:r>
              </w:p>
            </w:tc>
            <w:tc>
              <w:tcPr>
                <w:tcW w:w="5311" w:type="dxa"/>
                <w:tcBorders>
                  <w:top w:val="single" w:color="7E7E7E" w:themeColor="text1" w:themeTint="80" w:sz="4" w:space="0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59E83CDA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</w:p>
            </w:tc>
          </w:tr>
          <w:tr w14:paraId="7AFFBD4C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jc w:val="center"/>
            </w:trPr>
            <w:tc>
              <w:tcPr>
                <w:tcW w:w="1263" w:type="dxa"/>
              </w:tcPr>
              <w:p w14:paraId="0DD5C27A">
                <w:pPr>
                  <w:spacing w:line="600" w:lineRule="exact"/>
                  <w:jc w:val="distribute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报告日期</w:t>
                </w:r>
              </w:p>
            </w:tc>
            <w:tc>
              <w:tcPr>
                <w:tcW w:w="456" w:type="dxa"/>
              </w:tcPr>
              <w:p w14:paraId="5C927BCA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r>
                  <w:rPr>
                    <w:rFonts w:hint="eastAsia" w:cs="Times New Roman"/>
                    <w:sz w:val="24"/>
                    <w:szCs w:val="24"/>
                  </w:rPr>
                  <w:t>:</w:t>
                </w:r>
              </w:p>
            </w:tc>
            <w:tc>
              <w:tcPr>
                <w:tcW w:w="5311" w:type="dxa"/>
                <w:tcBorders>
                  <w:top w:val="single" w:color="7E7E7E" w:themeColor="text1" w:themeTint="80" w:sz="4" w:space="0"/>
                  <w:left w:val="nil"/>
                  <w:bottom w:val="single" w:color="7E7E7E" w:themeColor="text1" w:themeTint="80" w:sz="4" w:space="0"/>
                  <w:right w:val="nil"/>
                </w:tcBorders>
              </w:tcPr>
              <w:p w14:paraId="7AA3DA6F">
                <w:pPr>
                  <w:spacing w:line="600" w:lineRule="exact"/>
                  <w:jc w:val="center"/>
                  <w:rPr>
                    <w:rFonts w:hint="eastAsia" w:cs="Times New Roman"/>
                    <w:sz w:val="24"/>
                    <w:szCs w:val="24"/>
                  </w:rPr>
                </w:pPr>
                <w:bookmarkStart w:id="2" w:name="计算日期"/>
                <w:bookmarkStart w:id="3" w:name="报告日期"/>
                <w:r>
                  <w:rPr>
                    <w:rFonts w:hint="eastAsia" w:cs="Times New Roman"/>
                    <w:sz w:val="24"/>
                    <w:szCs w:val="24"/>
                  </w:rPr>
                  <w:t>2025年4月20日</w:t>
                </w:r>
                <w:bookmarkEnd w:id="2"/>
                <w:bookmarkEnd w:id="3"/>
              </w:p>
            </w:tc>
          </w:tr>
        </w:tbl>
        <w:p w14:paraId="755F177F">
          <w:pPr>
            <w:spacing w:before="120" w:line="360" w:lineRule="auto"/>
            <w:jc w:val="both"/>
            <w:rPr>
              <w:rFonts w:ascii="微软雅黑" w:hAnsi="微软雅黑" w:eastAsia="微软雅黑"/>
              <w:b/>
              <w:bCs/>
              <w:kern w:val="0"/>
              <w:sz w:val="36"/>
              <w:szCs w:val="36"/>
            </w:rPr>
          </w:pPr>
        </w:p>
        <w:p w14:paraId="5C1554A7">
          <w:pPr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pgSz w:w="11906" w:h="16838"/>
              <w:pgMar w:top="1701" w:right="1417" w:bottom="1417" w:left="1701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sdt>
          <w:sdtPr>
            <w:rPr>
              <w:rFonts w:ascii="宋体" w:hAnsi="宋体" w:eastAsia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eastAsia="微软雅黑" w:cs="Times New Roman"/>
              <w:kern w:val="0"/>
              <w:sz w:val="30"/>
              <w:szCs w:val="30"/>
            </w:rPr>
          </w:sdtEndPr>
          <w:sdtContent>
            <w:p w14:paraId="395D6BB3"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hAnsi="宋体" w:eastAsia="宋体"/>
                  <w:sz w:val="48"/>
                  <w:szCs w:val="48"/>
                </w:rPr>
                <w:t>目</w:t>
              </w:r>
              <w:r>
                <w:rPr>
                  <w:rFonts w:hint="eastAsia" w:ascii="宋体" w:hAnsi="宋体" w:eastAsia="宋体"/>
                  <w:sz w:val="48"/>
                  <w:szCs w:val="48"/>
                </w:rPr>
                <w:t xml:space="preserve">  </w:t>
              </w:r>
              <w:r>
                <w:rPr>
                  <w:rFonts w:ascii="宋体" w:hAnsi="宋体" w:eastAsia="宋体"/>
                  <w:sz w:val="48"/>
                  <w:szCs w:val="48"/>
                </w:rPr>
                <w:t>录</w:t>
              </w:r>
            </w:p>
            <w:p w14:paraId="4FF9947C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"_Toc5429"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1.项目概况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_Toc5429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34C22673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"_Toc2636"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2. 评价方法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_Toc2636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1749D59C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"_Toc18318"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3.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计算过程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_Toc18318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06946E42"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"_Toc20388"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4.结论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_Toc20388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 w14:paraId="07569061">
              <w:pPr>
                <w:widowControl/>
                <w:spacing w:before="156" w:beforeLines="50" w:after="156" w:afterLines="50" w:line="400" w:lineRule="exact"/>
                <w:jc w:val="left"/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 w14:paraId="1EED87C5">
          <w:pPr>
            <w:widowControl/>
            <w:jc w:val="left"/>
            <w:rPr>
              <w:rFonts w:ascii="微软雅黑" w:hAnsi="微软雅黑" w:eastAsia="微软雅黑"/>
              <w:kern w:val="0"/>
              <w:sz w:val="24"/>
            </w:rPr>
          </w:pPr>
        </w:p>
        <w:p w14:paraId="197E62B1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209CD6C7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3BE845CB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58CA4ABF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63A25E98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6713EBEC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24E9C7F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1CD66CDC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691AFAA8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4B0EDB7E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14075029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779AF122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E21A70E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3C1287BF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2DEE850D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32731552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0405BD37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6B3892F6"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 w14:paraId="746AD91B"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bookmarkStart w:id="4" w:name="_Toc5429"/>
        </w:p>
        <w:p w14:paraId="4217D6D2"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t>1.项目概况</w:t>
          </w:r>
          <w:bookmarkEnd w:id="4"/>
        </w:p>
        <w:p w14:paraId="766E75D6">
          <w:pPr>
            <w:pStyle w:val="2"/>
            <w:spacing w:after="312"/>
            <w:jc w:val="center"/>
            <w:rPr>
              <w:rFonts w:hint="eastAsia" w:ascii="Times New Roman" w:hAnsi="Times New Roman" w:eastAsia="宋体"/>
              <w:sz w:val="24"/>
              <w:szCs w:val="24"/>
            </w:rPr>
          </w:pPr>
          <w:r>
            <w:rPr>
              <w:rFonts w:hint="eastAsia" w:ascii="Times New Roman" w:hAnsi="Times New Roman" w:eastAsia="宋体"/>
              <w:sz w:val="24"/>
              <w:szCs w:val="24"/>
              <w:lang w:val="en-US" w:eastAsia="zh-CN"/>
            </w:rPr>
            <w:t>本项目</w:t>
          </w:r>
          <w:r>
            <w:rPr>
              <w:rFonts w:hint="eastAsia" w:ascii="Times New Roman" w:hAnsi="Times New Roman" w:eastAsia="宋体" w:cstheme="minorBidi"/>
              <w:bCs w:val="0"/>
              <w:kern w:val="2"/>
              <w:sz w:val="24"/>
              <w:szCs w:val="24"/>
              <w:lang w:val="en-US" w:eastAsia="zh-CN" w:bidi="ar-SA"/>
            </w:rPr>
            <w:t>是</w:t>
          </w:r>
          <w:r>
            <w:rPr>
              <w:rFonts w:hint="eastAsia" w:ascii="Times New Roman" w:hAnsi="Times New Roman" w:eastAsia="宋体" w:cstheme="minorBidi"/>
              <w:bCs w:val="0"/>
              <w:kern w:val="2"/>
              <w:sz w:val="24"/>
              <w:szCs w:val="24"/>
              <w:lang w:val="en-GB" w:eastAsia="zh-CN" w:bidi="ar-SA"/>
            </w:rPr>
            <w:t>济南新旧动能转换起步区褚家村、崔寨村等城中村改造项目 F-1地块</w:t>
          </w:r>
          <w:r>
            <w:rPr>
              <w:rFonts w:hint="eastAsia" w:ascii="Times New Roman" w:hAnsi="Times New Roman" w:eastAsia="宋体"/>
              <w:sz w:val="24"/>
              <w:szCs w:val="24"/>
            </w:rPr>
            <w:t>。位于济南新旧动能转换起步区崔寨片区，北邻北边界路，东临西环路，西临解营路。工程设计类别、等级：住宅小区、二级。主要经济技术指标：总用地面积28634.00平方米，总建筑面积100648.06平方米，其中地上67540.06平方米，地下33108.0平方米。建筑密度19.99%，地上容积率2.36，地下容积率0.70，绿地率35.1%。机动车停车位630辆，非机动车停车位1267辆。</w:t>
          </w:r>
        </w:p>
        <w:p w14:paraId="7316B467">
          <w:pPr>
            <w:spacing w:line="360" w:lineRule="auto"/>
            <w:ind w:firstLine="480" w:firstLineChars="200"/>
            <w:rPr>
              <w:rFonts w:hint="eastAsia"/>
              <w:sz w:val="24"/>
              <w:szCs w:val="24"/>
              <w:highlight w:val="yellow"/>
              <w:lang w:val="en-US"/>
            </w:rPr>
          </w:pPr>
          <w:r>
            <w:rPr>
              <w:rFonts w:hint="eastAsia" w:ascii="Times New Roman" w:hAnsi="Times New Roman" w:eastAsia="宋体"/>
              <w:sz w:val="24"/>
              <w:szCs w:val="24"/>
            </w:rPr>
            <w:t>建筑结构形式、结构类别：住宅楼采用装配整体式剪力墙结构，基础形式为筏板+桩基础；大门等配套公建为框架结构，基础形式为独立基础；车库为框架结构，基础形式为筏板+柱墩。</w:t>
          </w:r>
        </w:p>
        <w:p w14:paraId="51C91CBB">
          <w:pPr>
            <w:pStyle w:val="4"/>
            <w:ind w:firstLine="480"/>
            <w:jc w:val="center"/>
            <w:rPr>
              <w:rFonts w:hint="eastAsia"/>
              <w:sz w:val="24"/>
              <w:szCs w:val="24"/>
              <w:highlight w:val="yellow"/>
              <w:lang w:val="en-US"/>
            </w:rPr>
          </w:pPr>
          <w:r>
            <w:rPr>
              <w:rFonts w:hint="eastAsia" w:ascii="Times New Roman" w:hAnsi="Times New Roman" w:eastAsia="宋体"/>
            </w:rPr>
            <w:drawing>
              <wp:inline distT="0" distB="0" distL="114300" distR="114300">
                <wp:extent cx="4029075" cy="3362325"/>
                <wp:effectExtent l="0" t="0" r="9525" b="9525"/>
                <wp:docPr id="2" name="图片 2" descr="鸟瞰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鸟瞰图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9075" cy="3362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99136D">
          <w:pPr>
            <w:pStyle w:val="4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图1.1  项目效果图</w:t>
          </w:r>
        </w:p>
        <w:p w14:paraId="0FA3C6FA">
          <w:pPr>
            <w:pStyle w:val="2"/>
            <w:numPr>
              <w:ilvl w:val="0"/>
              <w:numId w:val="1"/>
            </w:numPr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</w:pPr>
          <w:bookmarkStart w:id="5" w:name="_Toc2636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5"/>
        </w:p>
        <w:p w14:paraId="5A0CC4E0">
          <w:pPr>
            <w:pStyle w:val="12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hint="eastAsia" w:ascii="Times New Roman" w:hAnsi="Times New Roman" w:cs="Times New Roman"/>
            </w:rPr>
            <w:t>GB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hint="eastAsia" w:ascii="Times New Roman" w:hAnsi="Times New Roman" w:cs="Times New Roman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>
            <w:rPr>
              <w:rFonts w:hint="eastAsia" w:ascii="Times New Roman" w:hAnsi="Times New Roman" w:cs="Times New Roman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>
            <w:rPr>
              <w:rFonts w:hint="eastAsia" w:ascii="Times New Roman" w:hAnsi="Times New Roman" w:cs="Times New Roman"/>
              <w:b/>
              <w:bCs/>
            </w:rPr>
            <w:t>主体结构采用装配式混凝土结构，地上部分预制构件应用混凝土体积占混凝土总体积的比例达到35%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0%，得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”。</w:t>
          </w:r>
        </w:p>
      </w:sdtContent>
    </w:sdt>
    <w:p w14:paraId="36E99F71">
      <w:pPr>
        <w:widowControl/>
        <w:spacing w:before="312" w:beforeLines="100" w:after="312" w:afterLines="100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6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hint="eastAsia" w:ascii="Times New Roman" w:hAnsi="Times New Roman" w:cs="Times New Roman"/>
          <w:b/>
          <w:sz w:val="30"/>
          <w:szCs w:val="30"/>
        </w:rPr>
        <w:t>计算过程</w:t>
      </w:r>
      <w:bookmarkEnd w:id="6"/>
    </w:p>
    <w:p w14:paraId="3B967244">
      <w:pPr>
        <w:pStyle w:val="4"/>
        <w:ind w:firstLine="480"/>
        <w:rPr>
          <w:sz w:val="24"/>
        </w:rPr>
      </w:pPr>
      <w:r>
        <w:rPr>
          <w:sz w:val="24"/>
        </w:rPr>
        <w:t>预制构件包括各种结构构件和非结构构件,如预制梁、预制柱、预制墙板、预制阳台板、预制楼梯、雨棚、栏杆等.在保证安全的前提下,使用工厂化方式生产的预制构件,既能减少材料浪费,又能减少施工对环境的影响,同时可为将来建筑拆除后构件的替换和再利用创造条件。</w:t>
      </w:r>
    </w:p>
    <w:p w14:paraId="15AA67BB">
      <w:pPr>
        <w:pStyle w:val="4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预制构件用量比例是指建筑室外地坪以上的主体结构和围护结构中,预制构</w:t>
      </w:r>
      <w:bookmarkStart w:id="8" w:name="_GoBack"/>
      <w:bookmarkEnd w:id="8"/>
      <w:r>
        <w:rPr>
          <w:sz w:val="24"/>
        </w:rPr>
        <w:t>件部分的混凝土用量占对应部分混凝土总用量的体积比。</w:t>
      </w:r>
    </w:p>
    <w:p w14:paraId="455A4048">
      <w:pPr>
        <w:pStyle w:val="12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eastAsiaTheme="minorEastAsia"/>
          <w:bCs/>
        </w:rPr>
        <w:t>表</w:t>
      </w:r>
      <w:r>
        <w:rPr>
          <w:rFonts w:hint="eastAsia" w:ascii="Times New Roman" w:hAnsi="Times New Roman" w:cs="Times New Roman" w:eastAsiaTheme="minorEastAsia"/>
          <w:bCs/>
        </w:rPr>
        <w:t>3</w:t>
      </w:r>
      <w:r>
        <w:rPr>
          <w:rFonts w:ascii="Times New Roman" w:hAnsi="Times New Roman" w:cs="Times New Roman" w:eastAsiaTheme="minorEastAsia"/>
          <w:bCs/>
        </w:rPr>
        <w:t>.1  预制构件用量比例计算</w:t>
      </w:r>
      <w:r>
        <w:rPr>
          <w:rFonts w:hint="eastAsia" w:ascii="Times New Roman" w:hAnsi="Times New Roman" w:cs="Times New Roman" w:eastAsiaTheme="minorEastAsia"/>
          <w:bCs/>
        </w:rPr>
        <w:t>表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40"/>
        <w:gridCol w:w="808"/>
        <w:gridCol w:w="1132"/>
        <w:gridCol w:w="1420"/>
        <w:gridCol w:w="1026"/>
        <w:gridCol w:w="1378"/>
      </w:tblGrid>
      <w:tr w14:paraId="60F3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0F1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587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D185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EB3CB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83FF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A1FF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D8D8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重量</w:t>
            </w:r>
          </w:p>
        </w:tc>
      </w:tr>
      <w:tr w14:paraId="6CCE1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6894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41B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2EE59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2AB5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76C3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46C60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286C44">
            <w:pPr>
              <w:widowControl/>
              <w:tabs>
                <w:tab w:val="left" w:pos="547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3259.6</w:t>
            </w:r>
          </w:p>
        </w:tc>
      </w:tr>
      <w:tr w14:paraId="5AA08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92D7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2D0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B3C9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1D1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E305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4839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76DEA">
            <w:pPr>
              <w:widowControl/>
              <w:tabs>
                <w:tab w:val="left" w:pos="29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362.2</w:t>
            </w:r>
          </w:p>
        </w:tc>
      </w:tr>
      <w:tr w14:paraId="2252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30DF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E89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F6D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6A7B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04A6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7149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269C98">
            <w:pPr>
              <w:widowControl/>
              <w:tabs>
                <w:tab w:val="left" w:pos="487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571.2</w:t>
            </w:r>
          </w:p>
        </w:tc>
      </w:tr>
      <w:tr w14:paraId="645B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0402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EF4A8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预制混凝土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承重墙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0B00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155D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4F2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CDC7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65F454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322.3</w:t>
            </w:r>
          </w:p>
        </w:tc>
      </w:tr>
      <w:tr w14:paraId="5A0B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0897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AD9B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2CED4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97E8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BD89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491CA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DDDA44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1890.4</w:t>
            </w:r>
          </w:p>
        </w:tc>
      </w:tr>
      <w:tr w14:paraId="357F8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E930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FE62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11CA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8DD7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9461F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8038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72E14">
            <w:pPr>
              <w:widowControl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3351.0</w:t>
            </w:r>
          </w:p>
        </w:tc>
      </w:tr>
      <w:tr w14:paraId="6C64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9A2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91B9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9756.7</w:t>
            </w:r>
          </w:p>
        </w:tc>
      </w:tr>
      <w:tr w14:paraId="24646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76A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混凝土总重量t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729253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23639.0</w:t>
            </w:r>
          </w:p>
        </w:tc>
      </w:tr>
      <w:tr w14:paraId="1DC5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8EDF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比例%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2642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1.27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highlight w:val="none"/>
              </w:rPr>
              <w:t>%</w:t>
            </w:r>
          </w:p>
        </w:tc>
      </w:tr>
    </w:tbl>
    <w:p w14:paraId="57079874"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kern w:val="2"/>
          <w:sz w:val="30"/>
          <w:szCs w:val="30"/>
          <w:highlight w:val="none"/>
          <w:lang w:val="zh-CN" w:eastAsia="zh-CN" w:bidi="ar-SA"/>
        </w:rPr>
      </w:pPr>
      <w:bookmarkStart w:id="7" w:name="_Toc20388"/>
      <w:r>
        <w:rPr>
          <w:rFonts w:ascii="Times New Roman" w:hAnsi="Times New Roman" w:cs="Times New Roman" w:eastAsiaTheme="minorEastAsia"/>
          <w:b/>
          <w:kern w:val="2"/>
          <w:sz w:val="30"/>
          <w:szCs w:val="30"/>
          <w:highlight w:val="none"/>
          <w:lang w:val="zh-CN" w:eastAsia="zh-CN" w:bidi="ar-SA"/>
        </w:rPr>
        <w:t>4.结论</w:t>
      </w:r>
      <w:bookmarkEnd w:id="7"/>
    </w:p>
    <w:p w14:paraId="59707A46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经计算，本项目居建采用的预制构件用量为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9756.7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t，该部分混凝土总用量为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23639.0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t，预制构件用量比例为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41.27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%，达到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%，满足《绿色建筑评价标准》（GB 50378-2019）第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9.2.5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 xml:space="preserve"> 条得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分的要求。</w:t>
      </w:r>
    </w:p>
    <w:p w14:paraId="4B0FAAFE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33F7C7C3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79E3605C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492328D6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12DBF3FA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4E65E111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04EBA564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7D2731AF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2B21A8F1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4A092FF3">
      <w:pPr>
        <w:spacing w:line="400" w:lineRule="exact"/>
        <w:rPr>
          <w:rFonts w:ascii="Times New Roman" w:hAnsi="Times New Roman" w:cs="Times New Roman"/>
          <w:lang w:val="zh-CN"/>
        </w:rPr>
      </w:pPr>
    </w:p>
    <w:p w14:paraId="0BFB040B">
      <w:pPr>
        <w:spacing w:line="400" w:lineRule="exact"/>
        <w:rPr>
          <w:rFonts w:ascii="Times New Roman" w:hAnsi="Times New Roman" w:cs="Times New Roman"/>
          <w:lang w:val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4"/>
        <w:gridCol w:w="1875"/>
        <w:gridCol w:w="1310"/>
        <w:gridCol w:w="1311"/>
        <w:gridCol w:w="1312"/>
      </w:tblGrid>
      <w:tr w14:paraId="30CE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</w:tcPr>
          <w:p w14:paraId="37E70A5B">
            <w:pPr>
              <w:spacing w:line="400" w:lineRule="exact"/>
              <w:rPr>
                <w:rFonts w:ascii="Times New Roman" w:hAnsi="Times New Roman" w:cs="Times New Roman"/>
                <w:sz w:val="18"/>
                <w:szCs w:val="18"/>
                <w:vertAlign w:val="baseline"/>
                <w:lang w:val="zh-CN"/>
              </w:rPr>
            </w:pPr>
          </w:p>
          <w:p w14:paraId="582253F5">
            <w:pPr>
              <w:bidi w:val="0"/>
              <w:ind w:firstLine="478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1#楼</w:t>
            </w:r>
          </w:p>
        </w:tc>
        <w:tc>
          <w:tcPr>
            <w:tcW w:w="1396" w:type="dxa"/>
          </w:tcPr>
          <w:p w14:paraId="269D406A">
            <w:pPr>
              <w:spacing w:line="400" w:lineRule="exac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796533A3">
            <w:pPr>
              <w:tabs>
                <w:tab w:val="center" w:pos="590"/>
              </w:tabs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 w14:paraId="512D8778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6E116503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359B82A9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5819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1EF9EE8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预制叠合楼板</w:t>
            </w:r>
          </w:p>
        </w:tc>
        <w:tc>
          <w:tcPr>
            <w:tcW w:w="1396" w:type="dxa"/>
            <w:vAlign w:val="top"/>
          </w:tcPr>
          <w:p w14:paraId="5C6068AC">
            <w:pPr>
              <w:spacing w:line="400" w:lineRule="exac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1层共27块</w:t>
            </w:r>
          </w:p>
          <w:p w14:paraId="1E556881">
            <w:pPr>
              <w:spacing w:line="400" w:lineRule="exac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总重17.12T</w:t>
            </w:r>
          </w:p>
        </w:tc>
        <w:tc>
          <w:tcPr>
            <w:tcW w:w="1396" w:type="dxa"/>
            <w:vAlign w:val="top"/>
          </w:tcPr>
          <w:p w14:paraId="59BD7706">
            <w:pPr>
              <w:tabs>
                <w:tab w:val="center" w:pos="590"/>
              </w:tabs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17.12X14=239.68T</w:t>
            </w:r>
          </w:p>
        </w:tc>
        <w:tc>
          <w:tcPr>
            <w:tcW w:w="1396" w:type="dxa"/>
            <w:vAlign w:val="top"/>
          </w:tcPr>
          <w:p w14:paraId="79F32C0D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0532160A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3AAD337C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591E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49EC779B">
            <w:pPr>
              <w:spacing w:line="400" w:lineRule="exac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预制空调板</w:t>
            </w:r>
          </w:p>
        </w:tc>
        <w:tc>
          <w:tcPr>
            <w:tcW w:w="1396" w:type="dxa"/>
            <w:vAlign w:val="top"/>
          </w:tcPr>
          <w:p w14:paraId="0F4976A3">
            <w:pPr>
              <w:spacing w:line="400" w:lineRule="exac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1层共7块</w:t>
            </w:r>
          </w:p>
          <w:p w14:paraId="22FE8F60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总重1.85t</w:t>
            </w:r>
          </w:p>
        </w:tc>
        <w:tc>
          <w:tcPr>
            <w:tcW w:w="1396" w:type="dxa"/>
            <w:vAlign w:val="top"/>
          </w:tcPr>
          <w:p w14:paraId="6B22C51B">
            <w:pPr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1.85X14=25.9T</w:t>
            </w:r>
          </w:p>
        </w:tc>
        <w:tc>
          <w:tcPr>
            <w:tcW w:w="1396" w:type="dxa"/>
            <w:vAlign w:val="top"/>
          </w:tcPr>
          <w:p w14:paraId="524EE927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3081287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49B6BF5D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70D85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0D3E0E0E">
            <w:pPr>
              <w:spacing w:line="400" w:lineRule="exact"/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楼梯</w:t>
            </w:r>
          </w:p>
        </w:tc>
        <w:tc>
          <w:tcPr>
            <w:tcW w:w="1396" w:type="dxa"/>
            <w:vAlign w:val="top"/>
          </w:tcPr>
          <w:p w14:paraId="12CBADAC">
            <w:pPr>
              <w:spacing w:line="400" w:lineRule="exac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1层共2块</w:t>
            </w:r>
          </w:p>
          <w:p w14:paraId="18376D6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总重3.0t</w:t>
            </w:r>
          </w:p>
        </w:tc>
        <w:tc>
          <w:tcPr>
            <w:tcW w:w="1396" w:type="dxa"/>
            <w:vAlign w:val="top"/>
          </w:tcPr>
          <w:p w14:paraId="21B4CD9F">
            <w:pPr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3.0TX14=42T</w:t>
            </w:r>
          </w:p>
        </w:tc>
        <w:tc>
          <w:tcPr>
            <w:tcW w:w="1396" w:type="dxa"/>
            <w:vAlign w:val="top"/>
          </w:tcPr>
          <w:p w14:paraId="73C7F1F6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2999C86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08916EA3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1061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723EFB08">
            <w:pPr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预制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承重墙</w:t>
            </w:r>
          </w:p>
        </w:tc>
        <w:tc>
          <w:tcPr>
            <w:tcW w:w="1396" w:type="dxa"/>
            <w:vAlign w:val="top"/>
          </w:tcPr>
          <w:p w14:paraId="5724A3D0">
            <w:pPr>
              <w:spacing w:line="400" w:lineRule="exac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1层共6块</w:t>
            </w:r>
          </w:p>
          <w:p w14:paraId="0859B5AF">
            <w:pPr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总重5.92t</w:t>
            </w:r>
          </w:p>
        </w:tc>
        <w:tc>
          <w:tcPr>
            <w:tcW w:w="1396" w:type="dxa"/>
            <w:vAlign w:val="top"/>
          </w:tcPr>
          <w:p w14:paraId="15CA80D1">
            <w:pPr>
              <w:spacing w:line="400" w:lineRule="exact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5.92TX14=23.7</w:t>
            </w:r>
          </w:p>
        </w:tc>
        <w:tc>
          <w:tcPr>
            <w:tcW w:w="1396" w:type="dxa"/>
            <w:vAlign w:val="top"/>
          </w:tcPr>
          <w:p w14:paraId="0BEFB6F3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5E5D56CB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65416E9E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50F7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19F09A35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预制非承重内隔墙</w:t>
            </w:r>
          </w:p>
        </w:tc>
        <w:tc>
          <w:tcPr>
            <w:tcW w:w="1396" w:type="dxa"/>
            <w:vAlign w:val="top"/>
          </w:tcPr>
          <w:p w14:paraId="197DF09F">
            <w:pPr>
              <w:spacing w:line="400" w:lineRule="exact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1层共9.93T</w:t>
            </w:r>
          </w:p>
        </w:tc>
        <w:tc>
          <w:tcPr>
            <w:tcW w:w="1396" w:type="dxa"/>
            <w:vAlign w:val="top"/>
          </w:tcPr>
          <w:p w14:paraId="578EAC2E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9.93X14=139.0T</w:t>
            </w:r>
          </w:p>
        </w:tc>
        <w:tc>
          <w:tcPr>
            <w:tcW w:w="1396" w:type="dxa"/>
            <w:vAlign w:val="top"/>
          </w:tcPr>
          <w:p w14:paraId="36156E88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22420D8C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6C5D5534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553A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1DDE031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预制非承重外维护墙</w:t>
            </w:r>
          </w:p>
        </w:tc>
        <w:tc>
          <w:tcPr>
            <w:tcW w:w="1396" w:type="dxa"/>
            <w:vAlign w:val="top"/>
          </w:tcPr>
          <w:p w14:paraId="05535C40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1层共17.6T</w:t>
            </w:r>
          </w:p>
        </w:tc>
        <w:tc>
          <w:tcPr>
            <w:tcW w:w="1396" w:type="dxa"/>
            <w:vAlign w:val="top"/>
          </w:tcPr>
          <w:p w14:paraId="69B47A53">
            <w:pPr>
              <w:spacing w:line="400" w:lineRule="exac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17.6X14=246.4T</w:t>
            </w:r>
          </w:p>
          <w:p w14:paraId="02DAE322">
            <w:pPr>
              <w:spacing w:line="400" w:lineRule="exac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top"/>
          </w:tcPr>
          <w:p w14:paraId="43F6BACC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7FAD17D4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7B813C8B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3D1F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212A837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030B2BFD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6A27CC7E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3FC10A39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5CF991C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0B1DF0D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348E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2DCDDA05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135B465A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2DEC3FB3">
            <w:pPr>
              <w:tabs>
                <w:tab w:val="center" w:pos="590"/>
              </w:tabs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01D387AB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242CD444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6BADC68D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336E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  <w:vAlign w:val="top"/>
          </w:tcPr>
          <w:p w14:paraId="4F0FFC2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231E12F8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3806B843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  <w:vAlign w:val="top"/>
          </w:tcPr>
          <w:p w14:paraId="59C8FBAE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6E5EBA5E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2AA8FA5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5979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</w:tcPr>
          <w:p w14:paraId="7AF715B4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6EF84C9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181889A8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2504D49C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539805E4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41105C0F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2E38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</w:tcPr>
          <w:p w14:paraId="286DE039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21E08D63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4DCC17A0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25380407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5EB231F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4A4E183F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0759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6" w:type="dxa"/>
          </w:tcPr>
          <w:p w14:paraId="06CDF945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1DF6AAF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5B143EBA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5DC755C9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400637D9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462469A1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  <w:tr w14:paraId="4D7A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96" w:type="dxa"/>
          </w:tcPr>
          <w:p w14:paraId="5EF731D2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1064ED67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34034485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6" w:type="dxa"/>
          </w:tcPr>
          <w:p w14:paraId="5441A03F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0F78C1BF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  <w:tc>
          <w:tcPr>
            <w:tcW w:w="1397" w:type="dxa"/>
          </w:tcPr>
          <w:p w14:paraId="3034431F">
            <w:pPr>
              <w:spacing w:line="400" w:lineRule="exact"/>
              <w:rPr>
                <w:rFonts w:ascii="Times New Roman" w:hAnsi="Times New Roman" w:cs="Times New Roman"/>
                <w:vertAlign w:val="baseline"/>
                <w:lang w:val="zh-CN"/>
              </w:rPr>
            </w:pPr>
          </w:p>
        </w:tc>
      </w:tr>
    </w:tbl>
    <w:p w14:paraId="32D4EEDE">
      <w:pPr>
        <w:spacing w:line="400" w:lineRule="exact"/>
        <w:rPr>
          <w:rFonts w:ascii="Times New Roman" w:hAnsi="Times New Roman" w:cs="Times New Roman"/>
          <w:lang w:val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D079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E86DE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1923E"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1923E"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3C3FB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33552"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33552"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524D">
    <w:pPr>
      <w:pStyle w:val="9"/>
      <w:pBdr>
        <w:bottom w:val="single" w:color="auto" w:sz="4" w:space="1"/>
      </w:pBdr>
      <w:jc w:val="right"/>
      <w:rPr>
        <w:rFonts w:ascii="宋体" w:hAnsi="宋体" w:eastAsia="宋体"/>
      </w:rPr>
    </w:pPr>
    <w:r>
      <w:rPr>
        <w:rFonts w:hint="eastAsia" w:ascii="宋体" w:hAnsi="宋体" w:eastAsia="宋体" w:cs="微软雅黑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C27A0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23008"/>
    <w:multiLevelType w:val="singleLevel"/>
    <w:tmpl w:val="9D1230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48357E5"/>
    <w:rsid w:val="150E3233"/>
    <w:rsid w:val="1AA270AE"/>
    <w:rsid w:val="1BAF42D2"/>
    <w:rsid w:val="1CA3347C"/>
    <w:rsid w:val="1E916AC7"/>
    <w:rsid w:val="1F794DF8"/>
    <w:rsid w:val="1F996297"/>
    <w:rsid w:val="1F9F0968"/>
    <w:rsid w:val="20AF5858"/>
    <w:rsid w:val="2117523C"/>
    <w:rsid w:val="2168264A"/>
    <w:rsid w:val="21F96AF7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0D71736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6742C45"/>
    <w:rsid w:val="57745FEF"/>
    <w:rsid w:val="57DE00B6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5405CC6"/>
    <w:rsid w:val="759D410F"/>
    <w:rsid w:val="75E55280"/>
    <w:rsid w:val="77142274"/>
    <w:rsid w:val="7778616F"/>
    <w:rsid w:val="78397CF1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line="360" w:lineRule="auto"/>
      <w:jc w:val="left"/>
      <w:outlineLvl w:val="0"/>
    </w:pPr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paragraph" w:styleId="3">
    <w:name w:val="heading 2"/>
    <w:basedOn w:val="1"/>
    <w:next w:val="4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kinsoku w:val="0"/>
      <w:spacing w:line="400" w:lineRule="atLeast"/>
      <w:ind w:firstLine="200" w:firstLineChars="200"/>
    </w:pPr>
    <w:rPr>
      <w:rFonts w:ascii="Times New Roman" w:hAnsi="Times New Roman" w:eastAsia="宋体" w:cs="Times New Roman"/>
      <w:szCs w:val="21"/>
      <w:lang w:val="en-GB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ody Text Indent"/>
    <w:basedOn w:val="1"/>
    <w:link w:val="19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19">
    <w:name w:val="正文文本缩进 字符"/>
    <w:basedOn w:val="16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styleId="24">
    <w:name w:val="Placeholder Text"/>
    <w:basedOn w:val="16"/>
    <w:semiHidden/>
    <w:qFormat/>
    <w:uiPriority w:val="99"/>
    <w:rPr>
      <w:color w:val="808080"/>
    </w:r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6"/>
    <w:link w:val="25"/>
    <w:qFormat/>
    <w:uiPriority w:val="1"/>
    <w:rPr>
      <w:kern w:val="0"/>
      <w:sz w:val="22"/>
    </w:rPr>
  </w:style>
  <w:style w:type="character" w:customStyle="1" w:styleId="27">
    <w:name w:val="标题 3 字符"/>
    <w:basedOn w:val="16"/>
    <w:link w:val="5"/>
    <w:semiHidden/>
    <w:qFormat/>
    <w:uiPriority w:val="9"/>
    <w:rPr>
      <w:b/>
      <w:bCs/>
      <w:sz w:val="32"/>
      <w:szCs w:val="32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bidi="zh-CN"/>
    </w:rPr>
  </w:style>
  <w:style w:type="table" w:customStyle="1" w:styleId="32">
    <w:name w:val="网格型1"/>
    <w:basedOn w:val="14"/>
    <w:qFormat/>
    <w:uiPriority w:val="39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975</Words>
  <Characters>1291</Characters>
  <Lines>7</Lines>
  <Paragraphs>2</Paragraphs>
  <TotalTime>0</TotalTime>
  <ScaleCrop>false</ScaleCrop>
  <LinksUpToDate>false</LinksUpToDate>
  <CharactersWithSpaces>1326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2014-04-17T06:46:00Z</dcterms:created>
  <dc:creator>sukie</dc:creator>
  <cp:lastModifiedBy>孙庆华</cp:lastModifiedBy>
  <cp:lastPrinted>2018-06-06T07:38:00Z</cp:lastPrinted>
  <dcterms:modified xsi:type="dcterms:W3CDTF">2025-04-25T03:52:09Z</dcterms:modified>
  <dc:title>ronglv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eyJoZGlkIjoiZmFjMGFiM2ZiMDU1ODBlZDBlZjc0MGExZDkyZmUwYTMiLCJ1c2VySWQiOiIxMjU1MDAzODgyIn0=</vt:lpwstr>
  </property>
  <property fmtid="{D5CDD505-2E9C-101B-9397-08002B2CF9AE}" pid="4" name="ICV">
    <vt:lpwstr>A8CE72143BAA487E9CB16EE39ED9C97B_13</vt:lpwstr>
  </property>
</Properties>
</file>