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321</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居住建筑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基本级</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40.0</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0　星级要求且每类指标评分项得分不小于其评分项的满分值的30%（见表1），评分项与加分项的加权总得分达到　0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40.0</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基本级</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4.2.1</w:t>
            </w:r>
          </w:p>
        </w:tc>
        <w:tc>
          <w:tcPr>
            <w:tcW w:w="5000" w:type="dxa"/>
            <w:vAlign w:val="center"/>
          </w:tcPr>
          <w:p>
            <w:pPr>
              <w:spacing w:before="0" w:after="3" w:lineRule="auto"/>
              <w:jc w:val="left"/>
            </w:pPr>
            <w:r>
              <w:rPr>
                <w:rFonts w:hint="eastAsia" w:ascii="宋体" w:hAnsi="宋体"/>
                <w:bCs/>
                <w:color w:val="000000"/>
                <w:sz w:val="22"/>
                <w:szCs w:val="22"/>
              </w:rPr>
              <w:t>采用基于性能的抗震设计并合理提高建筑的抗震性能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4.2.2</w:t>
            </w:r>
          </w:p>
        </w:tc>
        <w:tc>
          <w:tcPr>
            <w:tcW w:w="5000" w:type="dxa"/>
            <w:vAlign w:val="center"/>
          </w:tcPr>
          <w:p>
            <w:pPr>
              <w:spacing w:before="0" w:after="3" w:lineRule="auto"/>
              <w:jc w:val="left"/>
            </w:pPr>
            <w:r>
              <w:rPr>
                <w:rFonts w:hint="eastAsia" w:ascii="宋体" w:hAnsi="宋体"/>
                <w:bCs/>
                <w:color w:val="000000"/>
                <w:sz w:val="22"/>
                <w:szCs w:val="22"/>
              </w:rPr>
              <w:t>采取保障人员安全的防护措施</w:t>
            </w:r>
          </w:p>
        </w:tc>
        <w:tc>
          <w:tcPr>
            <w:tcW w:w="800" w:type="dxa"/>
            <w:vAlign w:val="center"/>
          </w:tcPr>
          <w:p>
            <w:pPr>
              <w:spacing w:before="0" w:after="3" w:lineRule="auto"/>
              <w:jc w:val="center"/>
            </w:pPr>
            <w:r>
              <w:rPr>
                <w:rFonts w:hint="eastAsia" w:ascii="宋体" w:hAnsi="宋体"/>
                <w:bCs/>
                <w:color w:val="000000"/>
                <w:sz w:val="22"/>
                <w:szCs w:val="22"/>
              </w:rPr>
              <w:t>15</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4.2.3</w:t>
            </w:r>
          </w:p>
        </w:tc>
        <w:tc>
          <w:tcPr>
            <w:tcW w:w="5000" w:type="dxa"/>
            <w:vAlign w:val="center"/>
          </w:tcPr>
          <w:p>
            <w:pPr>
              <w:spacing w:before="0" w:after="3" w:lineRule="auto"/>
              <w:jc w:val="left"/>
            </w:pPr>
            <w:r>
              <w:rPr>
                <w:rFonts w:hint="eastAsia" w:ascii="宋体" w:hAnsi="宋体"/>
                <w:bCs/>
                <w:color w:val="000000"/>
                <w:sz w:val="22"/>
                <w:szCs w:val="22"/>
              </w:rPr>
              <w:t>采用具有安全防护功能的产品或配件</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4.2.4</w:t>
            </w:r>
          </w:p>
        </w:tc>
        <w:tc>
          <w:tcPr>
            <w:tcW w:w="5000" w:type="dxa"/>
            <w:vAlign w:val="center"/>
          </w:tcPr>
          <w:p>
            <w:pPr>
              <w:spacing w:before="0" w:after="3" w:lineRule="auto"/>
              <w:jc w:val="left"/>
            </w:pPr>
            <w:r>
              <w:rPr>
                <w:rFonts w:hint="eastAsia" w:ascii="宋体" w:hAnsi="宋体"/>
                <w:bCs/>
                <w:color w:val="000000"/>
                <w:sz w:val="22"/>
                <w:szCs w:val="22"/>
              </w:rPr>
              <w:t>室内外地面或路面设置防滑措施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4.2.6</w:t>
            </w:r>
          </w:p>
        </w:tc>
        <w:tc>
          <w:tcPr>
            <w:tcW w:w="5000" w:type="dxa"/>
            <w:vAlign w:val="center"/>
          </w:tcPr>
          <w:p>
            <w:pPr>
              <w:spacing w:before="0" w:after="3" w:lineRule="auto"/>
              <w:jc w:val="left"/>
            </w:pPr>
            <w:r>
              <w:rPr>
                <w:rFonts w:hint="eastAsia" w:ascii="宋体" w:hAnsi="宋体"/>
                <w:bCs/>
                <w:color w:val="000000"/>
                <w:sz w:val="22"/>
                <w:szCs w:val="22"/>
              </w:rPr>
              <w:t>采取提升建筑适变性的措施</w:t>
            </w:r>
          </w:p>
        </w:tc>
        <w:tc>
          <w:tcPr>
            <w:tcW w:w="800" w:type="dxa"/>
            <w:vAlign w:val="center"/>
          </w:tcPr>
          <w:p>
            <w:pPr>
              <w:spacing w:before="0" w:after="3" w:lineRule="auto"/>
              <w:jc w:val="center"/>
            </w:pPr>
            <w:r>
              <w:rPr>
                <w:rFonts w:hint="eastAsia" w:ascii="宋体" w:hAnsi="宋体"/>
                <w:bCs/>
                <w:color w:val="000000"/>
                <w:sz w:val="22"/>
                <w:szCs w:val="22"/>
              </w:rPr>
              <w:t>18</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4.2.7</w:t>
            </w:r>
          </w:p>
        </w:tc>
        <w:tc>
          <w:tcPr>
            <w:tcW w:w="5000" w:type="dxa"/>
            <w:vAlign w:val="center"/>
          </w:tcPr>
          <w:p>
            <w:pPr>
              <w:spacing w:before="0" w:after="3" w:lineRule="auto"/>
              <w:jc w:val="left"/>
            </w:pPr>
            <w:r>
              <w:rPr>
                <w:rFonts w:hint="eastAsia" w:ascii="宋体" w:hAnsi="宋体"/>
                <w:bCs/>
                <w:color w:val="000000"/>
                <w:sz w:val="22"/>
                <w:szCs w:val="22"/>
              </w:rPr>
              <w:t>采取提升建筑部品部件耐久性的措施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4.2.8</w:t>
            </w:r>
          </w:p>
        </w:tc>
        <w:tc>
          <w:tcPr>
            <w:tcW w:w="5000" w:type="dxa"/>
            <w:vAlign w:val="center"/>
          </w:tcPr>
          <w:p>
            <w:pPr>
              <w:spacing w:before="0" w:after="3" w:lineRule="auto"/>
              <w:jc w:val="left"/>
            </w:pPr>
            <w:r>
              <w:rPr>
                <w:rFonts w:hint="eastAsia" w:ascii="宋体" w:hAnsi="宋体"/>
                <w:bCs/>
                <w:color w:val="000000"/>
                <w:sz w:val="22"/>
                <w:szCs w:val="22"/>
              </w:rPr>
              <w:t>提高建筑结构材料的耐久性</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4.2.9</w:t>
            </w:r>
          </w:p>
        </w:tc>
        <w:tc>
          <w:tcPr>
            <w:tcW w:w="5000" w:type="dxa"/>
            <w:vAlign w:val="center"/>
          </w:tcPr>
          <w:p>
            <w:pPr>
              <w:spacing w:before="0" w:after="3" w:lineRule="auto"/>
              <w:jc w:val="left"/>
            </w:pPr>
            <w:r>
              <w:rPr>
                <w:rFonts w:hint="eastAsia" w:ascii="宋体" w:hAnsi="宋体"/>
                <w:bCs/>
                <w:color w:val="000000"/>
                <w:sz w:val="22"/>
                <w:szCs w:val="22"/>
              </w:rPr>
              <w:t>合理采用耐久性好、易维护的装饰装修建筑材料</w:t>
            </w:r>
          </w:p>
        </w:tc>
        <w:tc>
          <w:tcPr>
            <w:tcW w:w="800" w:type="dxa"/>
            <w:vAlign w:val="center"/>
          </w:tcPr>
          <w:p>
            <w:pPr>
              <w:spacing w:before="0" w:after="3" w:lineRule="auto"/>
              <w:jc w:val="center"/>
            </w:pPr>
            <w:r>
              <w:rPr>
                <w:rFonts w:hint="eastAsia" w:ascii="宋体" w:hAnsi="宋体"/>
                <w:bCs/>
                <w:color w:val="000000"/>
                <w:sz w:val="22"/>
                <w:szCs w:val="22"/>
              </w:rPr>
              <w:t>9</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100.0</w:t>
            </w:r>
          </w:p>
        </w:tc>
        <w:tc>
          <w:tcPr>
            <w:tcW w:w="800" w:type="dxa"/>
            <w:vAlign w:val="center"/>
          </w:tcPr>
          <w:p>
            <w:pPr>
              <w:spacing w:before="0" w:after="3" w:lineRule="auto"/>
              <w:jc w:val="center"/>
            </w:pPr>
            <w:r>
              <w:rPr>
                <w:rFonts w:hint="eastAsia" w:ascii="宋体" w:hAnsi="宋体"/>
                <w:bCs/>
                <w:color w:val="000000"/>
                <w:sz w:val="22"/>
                <w:szCs w:val="22"/>
              </w:rPr>
              <w:t>0.0</w:t>
            </w:r>
          </w:p>
        </w:tc>
      </w:tr>
    </w:tbl>
    <w:sectPr>
      <w:pgSz w:w="11907" w:h="16839" w:code="9"/>
      <w:pgMar w:top="500" w:right="1440" w:bottom="100" w:left="1440"/>
    </w:sectPr>
  </w:body>
</w:document>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