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 w14:paraId="4112E239"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 w14:paraId="687AEA46">
          <w:pPr>
            <w:pStyle w:val="2"/>
            <w:spacing w:after="312"/>
            <w:jc w:val="center"/>
            <w:rPr>
              <w:rFonts w:hint="eastAsia" w:cs="Times New Roman"/>
              <w:b/>
              <w:kern w:val="0"/>
              <w:sz w:val="36"/>
              <w:szCs w:val="36"/>
              <w:lang w:val="en-GB"/>
            </w:rPr>
          </w:pPr>
          <w:r>
            <w:rPr>
              <w:rFonts w:hint="eastAsia" w:cs="Times New Roman"/>
              <w:b/>
              <w:kern w:val="0"/>
              <w:sz w:val="36"/>
              <w:szCs w:val="36"/>
              <w:lang w:val="en-GB"/>
            </w:rPr>
            <w:t>济南新旧动能转换起步区褚家村、崔寨村等城中村改造项目 F-</w:t>
          </w:r>
          <w:r>
            <w:rPr>
              <w:rFonts w:hint="eastAsia" w:cs="Times New Roman"/>
              <w:b/>
              <w:kern w:val="0"/>
              <w:sz w:val="36"/>
              <w:szCs w:val="36"/>
              <w:lang w:val="en-US" w:eastAsia="zh-CN"/>
            </w:rPr>
            <w:t>8</w:t>
          </w:r>
          <w:r>
            <w:rPr>
              <w:rFonts w:hint="eastAsia" w:cs="Times New Roman"/>
              <w:b/>
              <w:kern w:val="0"/>
              <w:sz w:val="36"/>
              <w:szCs w:val="36"/>
              <w:lang w:val="en-GB"/>
            </w:rPr>
            <w:t>地块</w:t>
          </w:r>
        </w:p>
        <w:p w14:paraId="2B83DB8F">
          <w:pPr>
            <w:pStyle w:val="6"/>
            <w:rPr>
              <w:rFonts w:ascii="Calibri"/>
              <w:sz w:val="20"/>
            </w:rPr>
          </w:pPr>
        </w:p>
        <w:p w14:paraId="0A744E0F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2AE33E83">
          <w:pPr>
            <w:ind w:right="790"/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预制构件用量比例计算书</w:t>
          </w:r>
        </w:p>
        <w:p w14:paraId="6AE1EFBE"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 w14:paraId="78B74927">
          <w:pPr>
            <w:jc w:val="center"/>
            <w:rPr>
              <w:lang w:val="zh-CN"/>
            </w:rPr>
          </w:pPr>
        </w:p>
        <w:p w14:paraId="67016C37">
          <w:pPr>
            <w:spacing w:before="120" w:line="360" w:lineRule="auto"/>
            <w:jc w:val="both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321FF131">
          <w:pPr>
            <w:pStyle w:val="6"/>
            <w:jc w:val="both"/>
            <w:rPr>
              <w:rFonts w:ascii="黑体" w:eastAsia="黑体"/>
              <w:sz w:val="30"/>
              <w:szCs w:val="30"/>
            </w:rPr>
          </w:pPr>
        </w:p>
        <w:p w14:paraId="0E74B61A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 w14:paraId="6782BB35">
          <w:pPr>
            <w:widowControl/>
            <w:jc w:val="left"/>
            <w:rPr>
              <w:rFonts w:ascii="Times New Roman" w:hAnsi="Times New Roman" w:eastAsia="宋体"/>
            </w:rPr>
          </w:pPr>
        </w:p>
        <w:tbl>
          <w:tblPr>
            <w:tblStyle w:val="32"/>
            <w:tblW w:w="0" w:type="auto"/>
            <w:jc w:val="center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1263"/>
            <w:gridCol w:w="456"/>
            <w:gridCol w:w="5311"/>
          </w:tblGrid>
          <w:tr w14:paraId="4A215486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0516273A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工程地点</w:t>
                </w:r>
              </w:p>
            </w:tc>
            <w:tc>
              <w:tcPr>
                <w:tcW w:w="456" w:type="dxa"/>
              </w:tcPr>
              <w:p w14:paraId="3DEB8415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nil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0F36F352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</w:p>
            </w:tc>
          </w:tr>
          <w:tr w14:paraId="30D0B507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7BB47A4F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建设单位</w:t>
                </w:r>
              </w:p>
            </w:tc>
            <w:tc>
              <w:tcPr>
                <w:tcW w:w="456" w:type="dxa"/>
              </w:tcPr>
              <w:p w14:paraId="55C51C8A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nil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05E4AD15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bookmarkStart w:id="0" w:name="建设单位"/>
                <w:r>
                  <w:rPr>
                    <w:rFonts w:hint="eastAsia" w:cs="Times New Roman"/>
                    <w:sz w:val="24"/>
                    <w:szCs w:val="24"/>
                  </w:rPr>
                  <w:t>济南新旧动能转换起步区管理委员会崔寨街道办事处</w:t>
                </w:r>
                <w:bookmarkEnd w:id="0"/>
              </w:p>
            </w:tc>
          </w:tr>
          <w:tr w14:paraId="4DBF6335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51BDA270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  <w:lang w:val="en-US" w:eastAsia="zh-CN"/>
                  </w:rPr>
                  <w:t>咨询</w:t>
                </w:r>
                <w:r>
                  <w:rPr>
                    <w:rFonts w:hint="eastAsia" w:cs="Times New Roman"/>
                    <w:sz w:val="24"/>
                    <w:szCs w:val="24"/>
                  </w:rPr>
                  <w:t>单位</w:t>
                </w:r>
              </w:p>
            </w:tc>
            <w:tc>
              <w:tcPr>
                <w:tcW w:w="456" w:type="dxa"/>
              </w:tcPr>
              <w:p w14:paraId="730D74CE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single" w:color="7E7E7E" w:themeColor="text1" w:themeTint="80" w:sz="4" w:space="0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66470609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bookmarkStart w:id="1" w:name="设计单位"/>
                <w:r>
                  <w:rPr>
                    <w:rFonts w:hint="eastAsia" w:cs="Times New Roman"/>
                    <w:sz w:val="24"/>
                    <w:szCs w:val="24"/>
                    <w:lang w:val="en-US" w:eastAsia="zh-CN"/>
                  </w:rPr>
                  <w:t>山东省建筑设计研究院</w:t>
                </w:r>
                <w:r>
                  <w:rPr>
                    <w:rFonts w:hint="eastAsia" w:cs="Times New Roman"/>
                    <w:sz w:val="24"/>
                    <w:szCs w:val="24"/>
                  </w:rPr>
                  <w:t>有限公司</w:t>
                </w:r>
                <w:bookmarkEnd w:id="1"/>
              </w:p>
            </w:tc>
          </w:tr>
          <w:tr w14:paraId="24BC68E4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424DBD39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设计人</w:t>
                </w:r>
              </w:p>
            </w:tc>
            <w:tc>
              <w:tcPr>
                <w:tcW w:w="456" w:type="dxa"/>
              </w:tcPr>
              <w:p w14:paraId="3B610CCC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single" w:color="7E7E7E" w:themeColor="text1" w:themeTint="80" w:sz="4" w:space="0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1534C6D4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</w:p>
            </w:tc>
          </w:tr>
          <w:tr w14:paraId="1E3E7952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6B10BD4E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校对人</w:t>
                </w:r>
              </w:p>
            </w:tc>
            <w:tc>
              <w:tcPr>
                <w:tcW w:w="456" w:type="dxa"/>
              </w:tcPr>
              <w:p w14:paraId="7C3B484D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single" w:color="7E7E7E" w:themeColor="text1" w:themeTint="80" w:sz="4" w:space="0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0951B2A1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</w:p>
            </w:tc>
          </w:tr>
          <w:tr w14:paraId="3D735D79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5DC1066B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审定人</w:t>
                </w:r>
              </w:p>
            </w:tc>
            <w:tc>
              <w:tcPr>
                <w:tcW w:w="456" w:type="dxa"/>
              </w:tcPr>
              <w:p w14:paraId="51202996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：</w:t>
                </w:r>
              </w:p>
            </w:tc>
            <w:tc>
              <w:tcPr>
                <w:tcW w:w="5311" w:type="dxa"/>
                <w:tcBorders>
                  <w:top w:val="single" w:color="7E7E7E" w:themeColor="text1" w:themeTint="80" w:sz="4" w:space="0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59E83CDA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</w:p>
            </w:tc>
          </w:tr>
          <w:tr w14:paraId="7AFFBD4C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jc w:val="center"/>
            </w:trPr>
            <w:tc>
              <w:tcPr>
                <w:tcW w:w="1263" w:type="dxa"/>
              </w:tcPr>
              <w:p w14:paraId="0DD5C27A">
                <w:pPr>
                  <w:spacing w:line="600" w:lineRule="exact"/>
                  <w:jc w:val="distribute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报告日期</w:t>
                </w:r>
              </w:p>
            </w:tc>
            <w:tc>
              <w:tcPr>
                <w:tcW w:w="456" w:type="dxa"/>
              </w:tcPr>
              <w:p w14:paraId="5C927BCA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r>
                  <w:rPr>
                    <w:rFonts w:hint="eastAsia" w:cs="Times New Roman"/>
                    <w:sz w:val="24"/>
                    <w:szCs w:val="24"/>
                  </w:rPr>
                  <w:t>:</w:t>
                </w:r>
              </w:p>
            </w:tc>
            <w:tc>
              <w:tcPr>
                <w:tcW w:w="5311" w:type="dxa"/>
                <w:tcBorders>
                  <w:top w:val="single" w:color="7E7E7E" w:themeColor="text1" w:themeTint="80" w:sz="4" w:space="0"/>
                  <w:left w:val="nil"/>
                  <w:bottom w:val="single" w:color="7E7E7E" w:themeColor="text1" w:themeTint="80" w:sz="4" w:space="0"/>
                  <w:right w:val="nil"/>
                </w:tcBorders>
              </w:tcPr>
              <w:p w14:paraId="7AA3DA6F">
                <w:pPr>
                  <w:spacing w:line="600" w:lineRule="exact"/>
                  <w:jc w:val="center"/>
                  <w:rPr>
                    <w:rFonts w:hint="eastAsia" w:cs="Times New Roman"/>
                    <w:sz w:val="24"/>
                    <w:szCs w:val="24"/>
                  </w:rPr>
                </w:pPr>
                <w:bookmarkStart w:id="2" w:name="报告日期"/>
                <w:bookmarkStart w:id="3" w:name="计算日期"/>
                <w:r>
                  <w:rPr>
                    <w:rFonts w:hint="eastAsia" w:cs="Times New Roman"/>
                    <w:sz w:val="24"/>
                    <w:szCs w:val="24"/>
                  </w:rPr>
                  <w:t>2025年4月20日</w:t>
                </w:r>
                <w:bookmarkEnd w:id="2"/>
                <w:bookmarkEnd w:id="3"/>
              </w:p>
            </w:tc>
          </w:tr>
        </w:tbl>
        <w:p w14:paraId="755F177F">
          <w:pPr>
            <w:spacing w:before="120" w:line="360" w:lineRule="auto"/>
            <w:jc w:val="both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 w14:paraId="5C1554A7"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 w14:paraId="395D6BB3"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 w14:paraId="4FF9947C"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"_Toc5429"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_Toc5429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34C22673"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"_Toc2636"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 评价方法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_Toc2636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1749D59C"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"_Toc18318"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计算过程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_Toc18318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06946E42"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"_Toc20388"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_Toc20388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07569061"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 w14:paraId="1EED87C5"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 w14:paraId="197E62B1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209CD6C7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BE845C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58CA4ABF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3A25E98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713EBEC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24E9C7F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CD66CDC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91AFAA8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B0EDB7E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407502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79AF12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E21A70E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C1287BF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2DEE850D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273155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405BD37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B3892F6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46AD91B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bookmarkStart w:id="4" w:name="_Toc5429"/>
        </w:p>
        <w:p w14:paraId="4217D6D2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4"/>
        </w:p>
        <w:p w14:paraId="766E75D6">
          <w:pPr>
            <w:pStyle w:val="2"/>
            <w:spacing w:after="312"/>
            <w:jc w:val="center"/>
            <w:rPr>
              <w:rFonts w:hint="eastAsia" w:ascii="Times New Roman" w:hAnsi="Times New Roman" w:eastAsia="宋体"/>
              <w:color w:val="0000FF"/>
              <w:sz w:val="24"/>
              <w:szCs w:val="24"/>
            </w:rPr>
          </w:pP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本项目</w:t>
          </w:r>
          <w:r>
            <w:rPr>
              <w:rFonts w:hint="eastAsia" w:ascii="Times New Roman" w:hAnsi="Times New Roman" w:eastAsia="宋体" w:cstheme="minorBidi"/>
              <w:bCs w:val="0"/>
              <w:color w:val="0000FF"/>
              <w:kern w:val="2"/>
              <w:sz w:val="24"/>
              <w:szCs w:val="24"/>
              <w:lang w:val="en-US" w:eastAsia="zh-CN" w:bidi="ar-SA"/>
            </w:rPr>
            <w:t>是</w:t>
          </w:r>
          <w:r>
            <w:rPr>
              <w:rFonts w:hint="eastAsia" w:ascii="Times New Roman" w:hAnsi="Times New Roman" w:eastAsia="宋体" w:cstheme="minorBidi"/>
              <w:bCs w:val="0"/>
              <w:color w:val="0000FF"/>
              <w:kern w:val="2"/>
              <w:sz w:val="24"/>
              <w:szCs w:val="24"/>
              <w:lang w:val="en-GB" w:eastAsia="zh-CN" w:bidi="ar-SA"/>
            </w:rPr>
            <w:t>济南新旧动能转换起步区褚家村、崔寨村等城中村改造项目 F-</w:t>
          </w:r>
          <w:r>
            <w:rPr>
              <w:rFonts w:hint="eastAsia" w:ascii="Times New Roman" w:hAnsi="Times New Roman" w:eastAsia="宋体" w:cstheme="minorBidi"/>
              <w:bCs w:val="0"/>
              <w:color w:val="0000FF"/>
              <w:kern w:val="2"/>
              <w:sz w:val="24"/>
              <w:szCs w:val="24"/>
              <w:lang w:val="en-US" w:eastAsia="zh-CN" w:bidi="ar-SA"/>
            </w:rPr>
            <w:t>8</w:t>
          </w:r>
          <w:r>
            <w:rPr>
              <w:rFonts w:hint="eastAsia" w:ascii="Times New Roman" w:hAnsi="Times New Roman" w:eastAsia="宋体" w:cstheme="minorBidi"/>
              <w:bCs w:val="0"/>
              <w:color w:val="0000FF"/>
              <w:kern w:val="2"/>
              <w:sz w:val="24"/>
              <w:szCs w:val="24"/>
              <w:lang w:val="en-GB" w:eastAsia="zh-CN" w:bidi="ar-SA"/>
            </w:rPr>
            <w:t>地块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。位于济南新旧动能转换起步区崔寨片区，北邻北边界路，东临西环路，西临解营路。工程设计类别、等级：住宅小区、二级。主要经济技术指标：总用地面积2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7899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.00平方米，总建筑面积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86189.35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平方米，其中地上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56750.01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平方米，地下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24262.81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平方米。建筑密度19.99%，地上容积率2.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23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，地下容积率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1.03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，绿地率35.1%。机动车停车位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509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辆，非机动车停车位1</w:t>
          </w:r>
          <w:r>
            <w:rPr>
              <w:rFonts w:hint="eastAsia" w:ascii="Times New Roman" w:hAnsi="Times New Roman" w:eastAsia="宋体"/>
              <w:color w:val="0000FF"/>
              <w:sz w:val="24"/>
              <w:szCs w:val="24"/>
              <w:lang w:val="en-US" w:eastAsia="zh-CN"/>
            </w:rPr>
            <w:t>118</w:t>
          </w:r>
          <w:bookmarkStart w:id="8" w:name="_GoBack"/>
          <w:bookmarkEnd w:id="8"/>
          <w:r>
            <w:rPr>
              <w:rFonts w:hint="eastAsia" w:ascii="Times New Roman" w:hAnsi="Times New Roman" w:eastAsia="宋体"/>
              <w:color w:val="0000FF"/>
              <w:sz w:val="24"/>
              <w:szCs w:val="24"/>
            </w:rPr>
            <w:t>辆。</w:t>
          </w:r>
        </w:p>
        <w:p w14:paraId="7316B467">
          <w:pPr>
            <w:spacing w:line="360" w:lineRule="auto"/>
            <w:ind w:firstLine="480" w:firstLineChars="200"/>
            <w:rPr>
              <w:rFonts w:hint="eastAsia"/>
              <w:sz w:val="24"/>
              <w:szCs w:val="24"/>
              <w:highlight w:val="yellow"/>
              <w:lang w:val="en-US"/>
            </w:rPr>
          </w:pPr>
          <w:r>
            <w:rPr>
              <w:rFonts w:hint="eastAsia" w:ascii="Times New Roman" w:hAnsi="Times New Roman" w:eastAsia="宋体"/>
              <w:sz w:val="24"/>
              <w:szCs w:val="24"/>
            </w:rPr>
            <w:t>建筑结构形式、结构类别：住宅楼采用装配整体式剪力墙结构，基础形式为筏板+桩基础；大门等配套公建为框架结构，基础形式为独立基础；车库为框架结构，基础形式为筏板+柱墩。</w:t>
          </w:r>
        </w:p>
        <w:p w14:paraId="51C91CBB">
          <w:pPr>
            <w:pStyle w:val="4"/>
            <w:ind w:firstLine="480"/>
            <w:jc w:val="center"/>
            <w:rPr>
              <w:rFonts w:hint="eastAsia" w:eastAsia="宋体"/>
              <w:sz w:val="24"/>
              <w:szCs w:val="24"/>
              <w:highlight w:val="yellow"/>
              <w:lang w:val="en-US" w:eastAsia="zh-CN"/>
            </w:rPr>
          </w:pPr>
          <w:r>
            <w:rPr>
              <w:rFonts w:hint="eastAsia" w:eastAsia="宋体"/>
              <w:sz w:val="24"/>
              <w:szCs w:val="24"/>
              <w:highlight w:val="yellow"/>
              <w:lang w:val="en-US" w:eastAsia="zh-CN"/>
            </w:rPr>
            <w:drawing>
              <wp:inline distT="0" distB="0" distL="114300" distR="114300">
                <wp:extent cx="4665345" cy="3007995"/>
                <wp:effectExtent l="0" t="0" r="13335" b="9525"/>
                <wp:docPr id="2" name="图片 2" descr="效果图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效果图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5345" cy="300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799136D">
          <w:pPr>
            <w:pStyle w:val="4"/>
            <w:ind w:firstLine="480"/>
            <w:jc w:val="center"/>
            <w:rPr>
              <w:sz w:val="24"/>
              <w:szCs w:val="24"/>
              <w:highlight w:val="yellow"/>
              <w:lang w:val="en-US"/>
            </w:rPr>
          </w:pPr>
          <w:r>
            <w:rPr>
              <w:rFonts w:hint="eastAsia"/>
              <w:sz w:val="24"/>
              <w:szCs w:val="24"/>
              <w:highlight w:val="yellow"/>
              <w:lang w:val="en-US"/>
            </w:rPr>
            <w:t>图1.1  项目效果图</w:t>
          </w:r>
        </w:p>
        <w:p w14:paraId="0FA3C6FA">
          <w:pPr>
            <w:pStyle w:val="2"/>
            <w:numPr>
              <w:ilvl w:val="0"/>
              <w:numId w:val="1"/>
            </w:numPr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5" w:name="_Toc2636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评价方法</w:t>
          </w:r>
          <w:bookmarkEnd w:id="5"/>
        </w:p>
        <w:p w14:paraId="5A0CC4E0">
          <w:pPr>
            <w:pStyle w:val="12"/>
            <w:shd w:val="clear" w:color="auto" w:fill="FFFFFF"/>
            <w:spacing w:before="0" w:beforeAutospacing="0" w:after="0" w:afterAutospacing="0" w:line="360" w:lineRule="auto"/>
            <w:ind w:firstLine="480"/>
            <w:textAlignment w:val="baseline"/>
          </w:pPr>
          <w:r>
            <w:rPr>
              <w:rFonts w:ascii="Times New Roman" w:hAnsi="Times New Roman" w:cs="Times New Roman"/>
            </w:rPr>
            <w:t>《绿色建筑评价标准》</w:t>
          </w:r>
          <w:r>
            <w:rPr>
              <w:rFonts w:hint="eastAsia" w:ascii="Times New Roman" w:hAnsi="Times New Roman" w:cs="Times New Roman"/>
            </w:rPr>
            <w:t>GB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cs="Times New Roman"/>
            </w:rPr>
            <w:t>50378</w:t>
          </w:r>
          <w:r>
            <w:rPr>
              <w:rFonts w:ascii="Times New Roman" w:hAnsi="Times New Roman" w:cs="Times New Roman"/>
            </w:rPr>
            <w:t>-201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条文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.2.5“</w:t>
          </w:r>
          <w:r>
            <w:rPr>
              <w:rFonts w:hint="eastAsia" w:ascii="Times New Roman" w:hAnsi="Times New Roman" w:cs="Times New Roman"/>
              <w:b/>
              <w:bCs/>
            </w:rPr>
            <w:t>采用符合工业化建造要求的结构体系与建筑构件</w:t>
          </w:r>
          <w:r>
            <w:rPr>
              <w:rFonts w:ascii="Times New Roman" w:hAnsi="Times New Roman" w:cs="Times New Roman"/>
              <w:b/>
              <w:bCs/>
            </w:rPr>
            <w:t>，评分总分值为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分。</w:t>
          </w:r>
          <w:r>
            <w:rPr>
              <w:rFonts w:hint="eastAsia" w:ascii="Times New Roman" w:hAnsi="Times New Roman" w:cs="Times New Roman"/>
              <w:b/>
              <w:bCs/>
            </w:rPr>
            <w:t>主体结构采用装配式混凝土结构，地上部分预制构件应用混凝土体积占混凝土总体积的比例达到35%</w:t>
          </w:r>
          <w:r>
            <w:rPr>
              <w:rFonts w:ascii="Times New Roman" w:hAnsi="Times New Roman" w:cs="Times New Roman"/>
              <w:b/>
              <w:bCs/>
            </w:rPr>
            <w:t>，得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分；达到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0%，得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</w:t>
          </w:r>
          <w:r>
            <w:rPr>
              <w:rFonts w:ascii="Times New Roman" w:hAnsi="Times New Roman" w:cs="Times New Roman"/>
            </w:rPr>
            <w:t>”。</w:t>
          </w:r>
        </w:p>
      </w:sdtContent>
    </w:sdt>
    <w:p w14:paraId="36E99F71">
      <w:pPr>
        <w:widowControl/>
        <w:spacing w:before="312" w:beforeLines="100" w:after="312" w:afterLines="100" w:line="400" w:lineRule="exact"/>
        <w:jc w:val="left"/>
        <w:outlineLvl w:val="0"/>
        <w:rPr>
          <w:rFonts w:ascii="Times New Roman" w:hAnsi="Times New Roman" w:cs="Times New Roman"/>
          <w:b/>
          <w:sz w:val="30"/>
          <w:szCs w:val="30"/>
        </w:rPr>
      </w:pPr>
      <w:bookmarkStart w:id="6" w:name="_Toc18318"/>
      <w:r>
        <w:rPr>
          <w:rFonts w:ascii="Times New Roman" w:hAnsi="Times New Roman" w:cs="Times New Roman"/>
          <w:b/>
          <w:sz w:val="30"/>
          <w:szCs w:val="30"/>
          <w:lang w:val="zh-CN"/>
        </w:rPr>
        <w:t>3.</w:t>
      </w:r>
      <w:r>
        <w:rPr>
          <w:rFonts w:hint="eastAsia" w:ascii="Times New Roman" w:hAnsi="Times New Roman" w:cs="Times New Roman"/>
          <w:b/>
          <w:sz w:val="30"/>
          <w:szCs w:val="30"/>
        </w:rPr>
        <w:t>计算过程</w:t>
      </w:r>
      <w:bookmarkEnd w:id="6"/>
    </w:p>
    <w:p w14:paraId="3B967244">
      <w:pPr>
        <w:pStyle w:val="4"/>
        <w:ind w:firstLine="480"/>
        <w:rPr>
          <w:sz w:val="24"/>
        </w:rPr>
      </w:pPr>
      <w:r>
        <w:rPr>
          <w:sz w:val="24"/>
        </w:rPr>
        <w:t>预制构件包括各种结构构件和非结构构件,如预制梁、预制柱、预制墙板、预制阳台板、预制楼梯、雨棚、栏杆等.在保证安全的前提下,使用工厂化方式生产的预制构件,既能减少材料浪费,又能减少施工对环境的影响,同时可为将来建筑拆除后构件的替换和再利用创造条件。</w:t>
      </w:r>
    </w:p>
    <w:p w14:paraId="15AA67BB">
      <w:pPr>
        <w:pStyle w:val="4"/>
        <w:ind w:firstLine="480"/>
        <w:rPr>
          <w:sz w:val="24"/>
        </w:rPr>
      </w:pPr>
      <w:r>
        <w:rPr>
          <w:sz w:val="24"/>
        </w:rPr>
        <w:t>预制构件用量比例是指建筑室外地坪以上的主体结构和围护结构中,预制构件部分的混凝土用量占对应部分混凝土总用量的体积比。</w:t>
      </w:r>
    </w:p>
    <w:p w14:paraId="455A4048">
      <w:pPr>
        <w:pStyle w:val="12"/>
        <w:shd w:val="clear" w:color="auto" w:fill="FFFFFF"/>
        <w:spacing w:before="0" w:beforeAutospacing="0" w:after="0" w:afterAutospacing="0" w:line="360" w:lineRule="auto"/>
        <w:ind w:firstLine="482"/>
        <w:jc w:val="center"/>
        <w:textAlignment w:val="baseline"/>
        <w:rPr>
          <w:rFonts w:ascii="Times New Roman" w:hAnsi="Times New Roman" w:cs="Times New Roman"/>
          <w:bCs/>
          <w:color w:val="333333"/>
        </w:rPr>
      </w:pPr>
      <w:r>
        <w:rPr>
          <w:rFonts w:ascii="Times New Roman" w:hAnsi="Times New Roman" w:cs="Times New Roman" w:eastAsiaTheme="minorEastAsia"/>
          <w:bCs/>
        </w:rPr>
        <w:t>表</w:t>
      </w:r>
      <w:r>
        <w:rPr>
          <w:rFonts w:hint="eastAsia" w:ascii="Times New Roman" w:hAnsi="Times New Roman" w:cs="Times New Roman" w:eastAsiaTheme="minorEastAsia"/>
          <w:bCs/>
        </w:rPr>
        <w:t>3</w:t>
      </w:r>
      <w:r>
        <w:rPr>
          <w:rFonts w:ascii="Times New Roman" w:hAnsi="Times New Roman" w:cs="Times New Roman" w:eastAsiaTheme="minorEastAsia"/>
          <w:bCs/>
        </w:rPr>
        <w:t>.1  预制构件用量比例计算</w:t>
      </w:r>
      <w:r>
        <w:rPr>
          <w:rFonts w:hint="eastAsia" w:ascii="Times New Roman" w:hAnsi="Times New Roman" w:cs="Times New Roman" w:eastAsiaTheme="minorEastAsia"/>
          <w:bCs/>
        </w:rPr>
        <w:t>表</w:t>
      </w:r>
    </w:p>
    <w:tbl>
      <w:tblPr>
        <w:tblStyle w:val="14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40"/>
        <w:gridCol w:w="808"/>
        <w:gridCol w:w="1132"/>
        <w:gridCol w:w="1420"/>
        <w:gridCol w:w="1026"/>
        <w:gridCol w:w="1378"/>
      </w:tblGrid>
      <w:tr w14:paraId="60F32F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4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260F1B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楼栋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C2587A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项目名称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6D1851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单位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EEB3CB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重量</w:t>
            </w: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183FF6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密度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FEA1FF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单位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3D8D86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重量</w:t>
            </w:r>
          </w:p>
        </w:tc>
      </w:tr>
      <w:tr w14:paraId="6CCE1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C6894D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1#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3241B1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预制叠合楼板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B2EE59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12AB5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E76C3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D46C60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F286C44">
            <w:pPr>
              <w:widowControl/>
              <w:tabs>
                <w:tab w:val="left" w:pos="547"/>
              </w:tabs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3259.6</w:t>
            </w:r>
          </w:p>
        </w:tc>
      </w:tr>
      <w:tr w14:paraId="5AA08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A92D7E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E72D07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预制空调板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5B3C9D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D51D19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6E3051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E48399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3D76DEA">
            <w:pPr>
              <w:widowControl/>
              <w:tabs>
                <w:tab w:val="left" w:pos="292"/>
              </w:tabs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362.2</w:t>
            </w:r>
          </w:p>
        </w:tc>
      </w:tr>
      <w:tr w14:paraId="225251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C30DF0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9E89B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预制楼梯板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B8F6D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86A7B2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804A66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57149B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6269C98">
            <w:pPr>
              <w:widowControl/>
              <w:tabs>
                <w:tab w:val="left" w:pos="487"/>
              </w:tabs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571.2</w:t>
            </w:r>
          </w:p>
        </w:tc>
      </w:tr>
      <w:tr w14:paraId="645B27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B0402E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3EF4A8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预制混凝土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承重墙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E0B004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7155D9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9B4F2A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DCDC75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A65F454">
            <w:pPr>
              <w:widowControl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322.3</w:t>
            </w:r>
          </w:p>
        </w:tc>
      </w:tr>
      <w:tr w14:paraId="5A0B0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80897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CAD9B5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预制内墙板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B2CED4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597E87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FBD894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5491CA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0DDDA44">
            <w:pPr>
              <w:widowControl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1890.4</w:t>
            </w:r>
          </w:p>
        </w:tc>
      </w:tr>
      <w:tr w14:paraId="357F8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3E930B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3FE626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预制保温外墙板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111CA6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28DD79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69461F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580389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3072E14">
            <w:pPr>
              <w:widowControl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3351.0</w:t>
            </w:r>
          </w:p>
        </w:tc>
      </w:tr>
      <w:tr w14:paraId="6C64A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809A2D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合计t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4B91B9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9756.7</w:t>
            </w:r>
          </w:p>
        </w:tc>
      </w:tr>
      <w:tr w14:paraId="24646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BB76A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混凝土总重量t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6729253">
            <w:pPr>
              <w:widowControl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23639.0</w:t>
            </w:r>
          </w:p>
        </w:tc>
      </w:tr>
      <w:tr w14:paraId="1DC5FA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B8EDFA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比例%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326422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  <w:highlight w:val="none"/>
                <w:lang w:val="en-US" w:eastAsia="zh-CN"/>
              </w:rPr>
              <w:t>1.27</w:t>
            </w:r>
            <w:r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  <w:highlight w:val="none"/>
              </w:rPr>
              <w:t>%</w:t>
            </w:r>
          </w:p>
        </w:tc>
      </w:tr>
    </w:tbl>
    <w:p w14:paraId="57079874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highlight w:val="none"/>
          <w:lang w:val="zh-CN" w:eastAsia="zh-CN" w:bidi="ar-SA"/>
        </w:rPr>
      </w:pPr>
      <w:bookmarkStart w:id="7" w:name="_Toc20388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highlight w:val="none"/>
          <w:lang w:val="zh-CN" w:eastAsia="zh-CN" w:bidi="ar-SA"/>
        </w:rPr>
        <w:t>4.结论</w:t>
      </w:r>
      <w:bookmarkEnd w:id="7"/>
    </w:p>
    <w:p w14:paraId="59707A46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sz w:val="24"/>
          <w:szCs w:val="24"/>
          <w:highlight w:val="none"/>
        </w:rPr>
        <w:t>经计算，本项目居建采用的预制构件用量为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9756.7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t，该部分混凝土总用量为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23639.0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t，预制构件用量比例为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41.27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%，达到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35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%，满足《绿色建筑评价标准》（GB 50378-2019）第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9.2.5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条得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分的要求。</w:t>
      </w:r>
    </w:p>
    <w:p w14:paraId="4B0FAAFE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33F7C7C3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79E3605C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492328D6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12DBF3FA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4E65E111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04EBA564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7D2731AF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2B21A8F1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4A092FF3">
      <w:pPr>
        <w:spacing w:line="400" w:lineRule="exact"/>
        <w:rPr>
          <w:rFonts w:ascii="Times New Roman" w:hAnsi="Times New Roman" w:cs="Times New Roman"/>
          <w:lang w:val="zh-CN"/>
        </w:rPr>
      </w:pPr>
    </w:p>
    <w:p w14:paraId="0BFB040B">
      <w:pPr>
        <w:spacing w:line="400" w:lineRule="exact"/>
        <w:rPr>
          <w:rFonts w:ascii="Times New Roman" w:hAnsi="Times New Roman" w:cs="Times New Roman"/>
          <w:lang w:val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354"/>
        <w:gridCol w:w="1875"/>
        <w:gridCol w:w="1310"/>
        <w:gridCol w:w="1311"/>
        <w:gridCol w:w="1312"/>
      </w:tblGrid>
      <w:tr w14:paraId="30CE7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</w:tcPr>
          <w:p w14:paraId="37E70A5B">
            <w:pPr>
              <w:spacing w:line="400" w:lineRule="exact"/>
              <w:rPr>
                <w:rFonts w:ascii="Times New Roman" w:hAnsi="Times New Roman" w:cs="Times New Roman"/>
                <w:color w:val="0000FF"/>
                <w:sz w:val="18"/>
                <w:szCs w:val="18"/>
                <w:vertAlign w:val="baseline"/>
                <w:lang w:val="zh-CN"/>
              </w:rPr>
            </w:pPr>
          </w:p>
          <w:p w14:paraId="582253F5">
            <w:pPr>
              <w:bidi w:val="0"/>
              <w:ind w:firstLine="478" w:firstLineChars="0"/>
              <w:jc w:val="left"/>
              <w:rPr>
                <w:rFonts w:hint="default" w:asciiTheme="minorHAnsi" w:hAnsiTheme="minorHAnsi" w:eastAsiaTheme="minorEastAsia" w:cstheme="minorBidi"/>
                <w:color w:val="0000FF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color w:val="0000FF"/>
                <w:kern w:val="2"/>
                <w:sz w:val="21"/>
                <w:szCs w:val="22"/>
                <w:lang w:val="en-US" w:eastAsia="zh-CN" w:bidi="ar-SA"/>
              </w:rPr>
              <w:t>6#楼</w:t>
            </w:r>
          </w:p>
        </w:tc>
        <w:tc>
          <w:tcPr>
            <w:tcW w:w="1396" w:type="dxa"/>
          </w:tcPr>
          <w:p w14:paraId="269D406A">
            <w:pPr>
              <w:spacing w:line="400" w:lineRule="exact"/>
              <w:rPr>
                <w:rFonts w:hint="default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</w:p>
        </w:tc>
        <w:tc>
          <w:tcPr>
            <w:tcW w:w="1396" w:type="dxa"/>
          </w:tcPr>
          <w:p w14:paraId="796533A3">
            <w:pPr>
              <w:tabs>
                <w:tab w:val="center" w:pos="590"/>
              </w:tabs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</w:p>
        </w:tc>
        <w:tc>
          <w:tcPr>
            <w:tcW w:w="1396" w:type="dxa"/>
          </w:tcPr>
          <w:p w14:paraId="512D8778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6E116503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359B82A9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58192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1EF9EE81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bidi="ar"/>
              </w:rPr>
              <w:t>预制叠合楼板</w:t>
            </w:r>
          </w:p>
        </w:tc>
        <w:tc>
          <w:tcPr>
            <w:tcW w:w="1396" w:type="dxa"/>
            <w:vAlign w:val="top"/>
          </w:tcPr>
          <w:p w14:paraId="5C6068AC">
            <w:pPr>
              <w:spacing w:line="400" w:lineRule="exact"/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1层共27块</w:t>
            </w:r>
          </w:p>
          <w:p w14:paraId="1E556881">
            <w:pPr>
              <w:spacing w:line="400" w:lineRule="exact"/>
              <w:rPr>
                <w:rFonts w:hint="default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总重17.12T</w:t>
            </w:r>
          </w:p>
        </w:tc>
        <w:tc>
          <w:tcPr>
            <w:tcW w:w="1396" w:type="dxa"/>
            <w:vAlign w:val="top"/>
          </w:tcPr>
          <w:p w14:paraId="59BD7706">
            <w:pPr>
              <w:tabs>
                <w:tab w:val="center" w:pos="590"/>
              </w:tabs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17.12X14=239.68T</w:t>
            </w:r>
          </w:p>
        </w:tc>
        <w:tc>
          <w:tcPr>
            <w:tcW w:w="1396" w:type="dxa"/>
            <w:vAlign w:val="top"/>
          </w:tcPr>
          <w:p w14:paraId="79F32C0D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0532160A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3AAD337C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591E5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49EC779B">
            <w:pPr>
              <w:spacing w:line="400" w:lineRule="exact"/>
              <w:rPr>
                <w:rFonts w:hint="eastAsia" w:ascii="Times New Roman" w:hAnsi="Times New Roman" w:eastAsia="宋体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bidi="ar"/>
              </w:rPr>
              <w:t>预制空调板</w:t>
            </w:r>
          </w:p>
        </w:tc>
        <w:tc>
          <w:tcPr>
            <w:tcW w:w="1396" w:type="dxa"/>
            <w:vAlign w:val="top"/>
          </w:tcPr>
          <w:p w14:paraId="0F4976A3">
            <w:pPr>
              <w:spacing w:line="400" w:lineRule="exact"/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1层共7块</w:t>
            </w:r>
          </w:p>
          <w:p w14:paraId="22FE8F60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总重1.85t</w:t>
            </w:r>
          </w:p>
        </w:tc>
        <w:tc>
          <w:tcPr>
            <w:tcW w:w="1396" w:type="dxa"/>
            <w:vAlign w:val="top"/>
          </w:tcPr>
          <w:p w14:paraId="6B22C51B">
            <w:pPr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1.85X14=25.9T</w:t>
            </w:r>
          </w:p>
        </w:tc>
        <w:tc>
          <w:tcPr>
            <w:tcW w:w="1396" w:type="dxa"/>
            <w:vAlign w:val="top"/>
          </w:tcPr>
          <w:p w14:paraId="524EE927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30812872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49B6BF5D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70D85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0D3E0E0E">
            <w:pPr>
              <w:spacing w:line="400" w:lineRule="exact"/>
              <w:rPr>
                <w:rFonts w:hint="eastAsia" w:ascii="Times New Roman" w:hAnsi="Times New Roman" w:eastAsia="宋体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bidi="ar"/>
              </w:rPr>
              <w:t>预制</w:t>
            </w:r>
            <w:r>
              <w:rPr>
                <w:rFonts w:hint="eastAsia"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val="en-US" w:eastAsia="zh-CN" w:bidi="ar"/>
              </w:rPr>
              <w:t>楼梯</w:t>
            </w:r>
          </w:p>
        </w:tc>
        <w:tc>
          <w:tcPr>
            <w:tcW w:w="1396" w:type="dxa"/>
            <w:vAlign w:val="top"/>
          </w:tcPr>
          <w:p w14:paraId="12CBADAC">
            <w:pPr>
              <w:spacing w:line="400" w:lineRule="exact"/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1层共2块</w:t>
            </w:r>
          </w:p>
          <w:p w14:paraId="18376D61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总重3.0t</w:t>
            </w:r>
          </w:p>
        </w:tc>
        <w:tc>
          <w:tcPr>
            <w:tcW w:w="1396" w:type="dxa"/>
            <w:vAlign w:val="top"/>
          </w:tcPr>
          <w:p w14:paraId="21B4CD9F">
            <w:pPr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3.0TX14=42T</w:t>
            </w:r>
          </w:p>
        </w:tc>
        <w:tc>
          <w:tcPr>
            <w:tcW w:w="1396" w:type="dxa"/>
            <w:vAlign w:val="top"/>
          </w:tcPr>
          <w:p w14:paraId="73C7F1F6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2999C861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08916EA3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1061B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723EFB08">
            <w:pPr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bidi="ar"/>
              </w:rPr>
              <w:t>预制</w:t>
            </w:r>
            <w:r>
              <w:rPr>
                <w:rFonts w:hint="eastAsia" w:ascii="Times New Roman" w:hAnsi="Times New Roman" w:eastAsia="宋体" w:cs="Times New Roman"/>
                <w:color w:val="0000FF"/>
                <w:kern w:val="0"/>
                <w:sz w:val="18"/>
                <w:szCs w:val="18"/>
                <w:highlight w:val="none"/>
                <w:lang w:val="en-US" w:eastAsia="zh-CN" w:bidi="ar"/>
              </w:rPr>
              <w:t>承重墙</w:t>
            </w:r>
          </w:p>
        </w:tc>
        <w:tc>
          <w:tcPr>
            <w:tcW w:w="1396" w:type="dxa"/>
            <w:vAlign w:val="top"/>
          </w:tcPr>
          <w:p w14:paraId="5724A3D0">
            <w:pPr>
              <w:spacing w:line="400" w:lineRule="exact"/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1层共6块</w:t>
            </w:r>
          </w:p>
          <w:p w14:paraId="0859B5AF">
            <w:pPr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总重5.92t</w:t>
            </w:r>
          </w:p>
        </w:tc>
        <w:tc>
          <w:tcPr>
            <w:tcW w:w="1396" w:type="dxa"/>
            <w:vAlign w:val="top"/>
          </w:tcPr>
          <w:p w14:paraId="15CA80D1">
            <w:pPr>
              <w:spacing w:line="400" w:lineRule="exact"/>
              <w:rPr>
                <w:rFonts w:hint="default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5.92TX14=23.7</w:t>
            </w:r>
          </w:p>
        </w:tc>
        <w:tc>
          <w:tcPr>
            <w:tcW w:w="1396" w:type="dxa"/>
            <w:vAlign w:val="top"/>
          </w:tcPr>
          <w:p w14:paraId="0BEFB6F3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5E5D56CB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65416E9E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50F70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19F09A35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预制非承重内隔墙</w:t>
            </w:r>
          </w:p>
        </w:tc>
        <w:tc>
          <w:tcPr>
            <w:tcW w:w="1396" w:type="dxa"/>
            <w:vAlign w:val="top"/>
          </w:tcPr>
          <w:p w14:paraId="197DF09F">
            <w:pPr>
              <w:spacing w:line="400" w:lineRule="exact"/>
              <w:rPr>
                <w:rFonts w:hint="eastAsia" w:ascii="Times New Roman" w:hAnsi="Times New Roman" w:cs="Times New Roman" w:eastAsiaTheme="minor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1层共9.93T</w:t>
            </w:r>
          </w:p>
        </w:tc>
        <w:tc>
          <w:tcPr>
            <w:tcW w:w="1396" w:type="dxa"/>
            <w:vAlign w:val="top"/>
          </w:tcPr>
          <w:p w14:paraId="578EAC2E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9.93X14=139.0T</w:t>
            </w:r>
          </w:p>
        </w:tc>
        <w:tc>
          <w:tcPr>
            <w:tcW w:w="1396" w:type="dxa"/>
            <w:vAlign w:val="top"/>
          </w:tcPr>
          <w:p w14:paraId="36156E88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22420D8C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6C5D5534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553A5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1DDE0312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预制非承重外维护墙</w:t>
            </w:r>
          </w:p>
        </w:tc>
        <w:tc>
          <w:tcPr>
            <w:tcW w:w="1396" w:type="dxa"/>
            <w:vAlign w:val="top"/>
          </w:tcPr>
          <w:p w14:paraId="05535C40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1层共17.6T</w:t>
            </w:r>
          </w:p>
        </w:tc>
        <w:tc>
          <w:tcPr>
            <w:tcW w:w="1396" w:type="dxa"/>
            <w:vAlign w:val="top"/>
          </w:tcPr>
          <w:p w14:paraId="69B47A53">
            <w:pPr>
              <w:spacing w:line="400" w:lineRule="exact"/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FF"/>
                <w:vertAlign w:val="baseline"/>
                <w:lang w:val="en-US" w:eastAsia="zh-CN"/>
              </w:rPr>
              <w:t>17.6X14=246.4T</w:t>
            </w:r>
          </w:p>
          <w:p w14:paraId="02DAE322">
            <w:pPr>
              <w:spacing w:line="400" w:lineRule="exact"/>
              <w:rPr>
                <w:rFonts w:hint="default" w:ascii="Times New Roman" w:hAnsi="Times New Roman" w:cs="Times New Roman"/>
                <w:color w:val="0000FF"/>
                <w:vertAlign w:val="baseline"/>
                <w:lang w:val="en-US" w:eastAsia="zh-CN"/>
              </w:rPr>
            </w:pPr>
          </w:p>
        </w:tc>
        <w:tc>
          <w:tcPr>
            <w:tcW w:w="1396" w:type="dxa"/>
            <w:vAlign w:val="top"/>
          </w:tcPr>
          <w:p w14:paraId="43F6BACC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7FAD17D4">
            <w:pPr>
              <w:spacing w:line="400" w:lineRule="exact"/>
              <w:rPr>
                <w:rFonts w:ascii="Times New Roman" w:hAnsi="Times New Roman" w:cs="Times New Roman"/>
                <w:color w:val="0000FF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7B813C8B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3D1F5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212A8371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030B2BFD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6A27CC7E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3FC10A39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5CF991C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0B1DF0D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348EC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2DCDDA05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135B465A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2DEC3FB3">
            <w:pPr>
              <w:tabs>
                <w:tab w:val="center" w:pos="590"/>
              </w:tabs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01D387AB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242CD444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6BADC68D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336EF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  <w:vAlign w:val="top"/>
          </w:tcPr>
          <w:p w14:paraId="4F0FFC2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231E12F8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3806B843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  <w:vAlign w:val="top"/>
          </w:tcPr>
          <w:p w14:paraId="59C8FBAE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6E5EBA5E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2AA8FA51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59792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</w:tcPr>
          <w:p w14:paraId="7AF715B4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6EF84C9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181889A8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2504D49C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539805E4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41105C0F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2E380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</w:tcPr>
          <w:p w14:paraId="286DE039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21E08D63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4DCC17A0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25380407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5EB231F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4A4E183F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07593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396" w:type="dxa"/>
          </w:tcPr>
          <w:p w14:paraId="06CDF945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1DF6AAF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5B143EBA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5DC755C9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400637D9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462469A1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  <w:tr w14:paraId="4D7A3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396" w:type="dxa"/>
          </w:tcPr>
          <w:p w14:paraId="5EF731D2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1064ED67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34034485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6" w:type="dxa"/>
          </w:tcPr>
          <w:p w14:paraId="5441A03F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0F78C1BF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  <w:tc>
          <w:tcPr>
            <w:tcW w:w="1397" w:type="dxa"/>
          </w:tcPr>
          <w:p w14:paraId="3034431F">
            <w:pPr>
              <w:spacing w:line="400" w:lineRule="exact"/>
              <w:rPr>
                <w:rFonts w:ascii="Times New Roman" w:hAnsi="Times New Roman" w:cs="Times New Roman"/>
                <w:vertAlign w:val="baseline"/>
                <w:lang w:val="zh-CN"/>
              </w:rPr>
            </w:pPr>
          </w:p>
        </w:tc>
      </w:tr>
    </w:tbl>
    <w:p w14:paraId="32D4EEDE">
      <w:pPr>
        <w:spacing w:line="400" w:lineRule="exact"/>
        <w:rPr>
          <w:rFonts w:ascii="Times New Roman" w:hAnsi="Times New Roman" w:cs="Times New Roman"/>
          <w:lang w:val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D0794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E86DE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71923E"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71923E"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3C3FB"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33552"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333552"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B524D">
    <w:pPr>
      <w:pStyle w:val="9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hint="eastAsia" w:ascii="宋体" w:hAnsi="宋体" w:eastAsia="宋体" w:cs="微软雅黑"/>
        <w:sz w:val="21"/>
        <w:szCs w:val="20"/>
      </w:rPr>
      <w:t>预制构件用量比例计算书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C27A0"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123008"/>
    <w:multiLevelType w:val="singleLevel"/>
    <w:tmpl w:val="9D1230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57C61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94384"/>
    <w:rsid w:val="002B6819"/>
    <w:rsid w:val="002C5CD6"/>
    <w:rsid w:val="002C78EB"/>
    <w:rsid w:val="002D0A6E"/>
    <w:rsid w:val="002F2E40"/>
    <w:rsid w:val="0030362A"/>
    <w:rsid w:val="00306605"/>
    <w:rsid w:val="00351560"/>
    <w:rsid w:val="00376141"/>
    <w:rsid w:val="003B0C57"/>
    <w:rsid w:val="003E7CE6"/>
    <w:rsid w:val="00406761"/>
    <w:rsid w:val="004649B2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4508"/>
    <w:rsid w:val="005C1B1E"/>
    <w:rsid w:val="005D71C2"/>
    <w:rsid w:val="006654CC"/>
    <w:rsid w:val="00672C28"/>
    <w:rsid w:val="00674DA2"/>
    <w:rsid w:val="00685798"/>
    <w:rsid w:val="00690C85"/>
    <w:rsid w:val="006B062B"/>
    <w:rsid w:val="006C3739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5CEE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97902"/>
    <w:rsid w:val="009C14B8"/>
    <w:rsid w:val="009E3D43"/>
    <w:rsid w:val="009E5910"/>
    <w:rsid w:val="009F0F16"/>
    <w:rsid w:val="009F222E"/>
    <w:rsid w:val="009F4DDA"/>
    <w:rsid w:val="00A05C38"/>
    <w:rsid w:val="00A0726B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141CD"/>
    <w:rsid w:val="00C2482D"/>
    <w:rsid w:val="00C45BD8"/>
    <w:rsid w:val="00C610E3"/>
    <w:rsid w:val="00C65091"/>
    <w:rsid w:val="00C6516F"/>
    <w:rsid w:val="00C82505"/>
    <w:rsid w:val="00C94B72"/>
    <w:rsid w:val="00CA7F8A"/>
    <w:rsid w:val="00D03638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7B39"/>
    <w:rsid w:val="00EF4038"/>
    <w:rsid w:val="00F149CB"/>
    <w:rsid w:val="00F30522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46463A3"/>
    <w:rsid w:val="05AA797A"/>
    <w:rsid w:val="068A0E95"/>
    <w:rsid w:val="082D0330"/>
    <w:rsid w:val="082E7E18"/>
    <w:rsid w:val="09D37291"/>
    <w:rsid w:val="0ADC43E7"/>
    <w:rsid w:val="0C1C7A68"/>
    <w:rsid w:val="0E4E6C3C"/>
    <w:rsid w:val="0F023FA9"/>
    <w:rsid w:val="0FBB3E72"/>
    <w:rsid w:val="0FFC751B"/>
    <w:rsid w:val="10AE6FC7"/>
    <w:rsid w:val="11812ADA"/>
    <w:rsid w:val="11A010B5"/>
    <w:rsid w:val="121D2E5A"/>
    <w:rsid w:val="148357E5"/>
    <w:rsid w:val="150E3233"/>
    <w:rsid w:val="1AA270AE"/>
    <w:rsid w:val="1BAF42D2"/>
    <w:rsid w:val="1CA3347C"/>
    <w:rsid w:val="1E916AC7"/>
    <w:rsid w:val="1F794DF8"/>
    <w:rsid w:val="1F996297"/>
    <w:rsid w:val="1F9F0968"/>
    <w:rsid w:val="209C0204"/>
    <w:rsid w:val="20AF5858"/>
    <w:rsid w:val="2117523C"/>
    <w:rsid w:val="2168264A"/>
    <w:rsid w:val="21F96AF7"/>
    <w:rsid w:val="227C27F0"/>
    <w:rsid w:val="254646E5"/>
    <w:rsid w:val="26174245"/>
    <w:rsid w:val="2848062F"/>
    <w:rsid w:val="2B5975F6"/>
    <w:rsid w:val="2C4A08ED"/>
    <w:rsid w:val="2CAA45DA"/>
    <w:rsid w:val="2D06502B"/>
    <w:rsid w:val="2D702671"/>
    <w:rsid w:val="2E5212CA"/>
    <w:rsid w:val="30D71736"/>
    <w:rsid w:val="32B2554D"/>
    <w:rsid w:val="33DD70A5"/>
    <w:rsid w:val="34DC2802"/>
    <w:rsid w:val="362F46FC"/>
    <w:rsid w:val="36DC2E22"/>
    <w:rsid w:val="379A346B"/>
    <w:rsid w:val="3A14479A"/>
    <w:rsid w:val="3B4F3C0C"/>
    <w:rsid w:val="3CBB48D6"/>
    <w:rsid w:val="3DF12CC9"/>
    <w:rsid w:val="3ED62B96"/>
    <w:rsid w:val="421460C8"/>
    <w:rsid w:val="43833765"/>
    <w:rsid w:val="48BB3274"/>
    <w:rsid w:val="4A745EB4"/>
    <w:rsid w:val="4CCB5F45"/>
    <w:rsid w:val="4E33279F"/>
    <w:rsid w:val="4EBB0FAF"/>
    <w:rsid w:val="4F1D2570"/>
    <w:rsid w:val="508F6A10"/>
    <w:rsid w:val="51C41C05"/>
    <w:rsid w:val="525B6F9B"/>
    <w:rsid w:val="527E6314"/>
    <w:rsid w:val="53856385"/>
    <w:rsid w:val="554743C5"/>
    <w:rsid w:val="56742C45"/>
    <w:rsid w:val="57745FEF"/>
    <w:rsid w:val="57DE00B6"/>
    <w:rsid w:val="5908372B"/>
    <w:rsid w:val="59D56836"/>
    <w:rsid w:val="5B5A24EC"/>
    <w:rsid w:val="5CB71570"/>
    <w:rsid w:val="5EE1754B"/>
    <w:rsid w:val="5F737FFC"/>
    <w:rsid w:val="61233805"/>
    <w:rsid w:val="6173388D"/>
    <w:rsid w:val="61C334CF"/>
    <w:rsid w:val="61D73FA7"/>
    <w:rsid w:val="64F06B1D"/>
    <w:rsid w:val="65382EF3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D386C7A"/>
    <w:rsid w:val="6DD36373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778616F"/>
    <w:rsid w:val="78397CF1"/>
    <w:rsid w:val="78C82CF3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3">
    <w:name w:val="heading 2"/>
    <w:basedOn w:val="1"/>
    <w:next w:val="4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19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19">
    <w:name w:val="正文文本缩进 字符"/>
    <w:basedOn w:val="16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0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8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styleId="24">
    <w:name w:val="Placeholder Text"/>
    <w:basedOn w:val="16"/>
    <w:semiHidden/>
    <w:qFormat/>
    <w:uiPriority w:val="99"/>
    <w:rPr>
      <w:color w:val="808080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6"/>
    <w:link w:val="25"/>
    <w:qFormat/>
    <w:uiPriority w:val="1"/>
    <w:rPr>
      <w:kern w:val="0"/>
      <w:sz w:val="22"/>
    </w:rPr>
  </w:style>
  <w:style w:type="character" w:customStyle="1" w:styleId="27">
    <w:name w:val="标题 3 字符"/>
    <w:basedOn w:val="16"/>
    <w:link w:val="5"/>
    <w:semiHidden/>
    <w:qFormat/>
    <w:uiPriority w:val="9"/>
    <w:rPr>
      <w:b/>
      <w:bCs/>
      <w:sz w:val="32"/>
      <w:szCs w:val="32"/>
    </w:rPr>
  </w:style>
  <w:style w:type="paragraph" w:customStyle="1" w:styleId="2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  <w:style w:type="table" w:customStyle="1" w:styleId="32">
    <w:name w:val="网格型1"/>
    <w:basedOn w:val="14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975</Words>
  <Characters>1291</Characters>
  <Lines>7</Lines>
  <Paragraphs>2</Paragraphs>
  <TotalTime>160</TotalTime>
  <ScaleCrop>false</ScaleCrop>
  <LinksUpToDate>false</LinksUpToDate>
  <CharactersWithSpaces>1328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2014-04-17T06:46:00Z</dcterms:created>
  <dc:creator>sukie</dc:creator>
  <cp:lastModifiedBy>Jamie</cp:lastModifiedBy>
  <cp:lastPrinted>2018-06-06T07:38:00Z</cp:lastPrinted>
  <dcterms:modified xsi:type="dcterms:W3CDTF">2025-05-27T06:21:09Z</dcterms:modified>
  <dc:title>ronglv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eyJoZGlkIjoiYjA5MzcyZDE2ZDYzZjJhNzYzOTExMTIzZjlmYzVhOGEiLCJ1c2VySWQiOiI0MDQ0MzAwNDIifQ==</vt:lpwstr>
  </property>
  <property fmtid="{D5CDD505-2E9C-101B-9397-08002B2CF9AE}" pid="4" name="ICV">
    <vt:lpwstr>A8CE72143BAA487E9CB16EE39ED9C97B_13</vt:lpwstr>
  </property>
</Properties>
</file>