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D2DD">
      <w:pPr>
        <w:pStyle w:val="5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 w14:paraId="51C2A7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10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 w14:paraId="71A6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01AF7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 w14:paraId="36A7D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 w14:paraId="037D8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 w14:paraId="5C74D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492F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51567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 w14:paraId="1B42D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 w14:paraId="39839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58E20F7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700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0AE3F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 w14:paraId="0C7CF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44C30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3793B8B7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2CB6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4267F19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 w14:paraId="0F5617C9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 w14:paraId="378E5311"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 w14:paraId="66867B4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3E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195B325">
            <w:pPr>
              <w:ind w:firstLine="4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0"/>
              </w:rPr>
              <w:t>在新建综合办公楼的办公室内新建室内环境监测装置，室内环境装置自带LED显示屏，用于显示室内实时PM2.5、PM10以及二氧化碳浓度数值，同时装置输出4G无线信号，信号传输至云端服务器，可通过终端和电脑进行查看。</w:t>
            </w:r>
            <w:bookmarkStart w:id="0" w:name="_GoBack"/>
            <w:bookmarkEnd w:id="0"/>
          </w:p>
        </w:tc>
      </w:tr>
    </w:tbl>
    <w:p w14:paraId="5654DEE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6E51A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DEDE5F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 w14:paraId="74DE392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 w14:paraId="1CA11D0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 w14:paraId="521852D3">
      <w:pPr>
        <w:rPr>
          <w:rFonts w:ascii="Times New Roman" w:hAnsi="Times New Roman" w:cs="Times New Roman"/>
        </w:rPr>
      </w:pPr>
    </w:p>
    <w:p w14:paraId="5E8343C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AB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7E151B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D29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04453210"/>
    <w:rsid w:val="785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link w:val="19"/>
    <w:qFormat/>
    <w:uiPriority w:val="0"/>
    <w:pPr>
      <w:spacing w:before="200"/>
    </w:pPr>
    <w:rPr>
      <w:b/>
      <w:color w:val="4F81BD"/>
      <w:sz w:val="24"/>
    </w:rPr>
  </w:style>
  <w:style w:type="paragraph" w:styleId="5">
    <w:name w:val="heading 4"/>
    <w:basedOn w:val="4"/>
    <w:next w:val="1"/>
    <w:link w:val="15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uiPriority w:val="0"/>
    <w:rPr>
      <w:i/>
      <w:color w:val="4F81BD"/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5">
    <w:name w:val="标题 4 Char"/>
    <w:basedOn w:val="12"/>
    <w:link w:val="5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6">
    <w:name w:val="Placeholder Text"/>
    <w:basedOn w:val="12"/>
    <w:semiHidden/>
    <w:qFormat/>
    <w:uiPriority w:val="99"/>
    <w:rPr>
      <w:color w:val="808080"/>
    </w:rPr>
  </w:style>
  <w:style w:type="table" w:customStyle="1" w:styleId="17">
    <w:name w:val="网格型1"/>
    <w:basedOn w:val="10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样式1"/>
    <w:basedOn w:val="12"/>
    <w:qFormat/>
    <w:uiPriority w:val="1"/>
    <w:rPr>
      <w:rFonts w:eastAsiaTheme="minorEastAsia"/>
      <w:sz w:val="21"/>
    </w:rPr>
  </w:style>
  <w:style w:type="character" w:customStyle="1" w:styleId="19">
    <w:name w:val="标题 3 Char"/>
    <w:basedOn w:val="12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 w14:paraId="6D04910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 w14:paraId="19D5A2C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9780A3974147CA8F677ED0B5A9E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457</Characters>
  <Lines>4</Lines>
  <Paragraphs>1</Paragraphs>
  <TotalTime>2</TotalTime>
  <ScaleCrop>false</ScaleCrop>
  <LinksUpToDate>false</LinksUpToDate>
  <CharactersWithSpaces>492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李金帅</cp:lastModifiedBy>
  <dcterms:modified xsi:type="dcterms:W3CDTF">2025-05-28T07:13:38Z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eyJoZGlkIjoiMmRiYmIxYmFiYzhhMjIyZTg5Y2M0OGY0Y2ViMWRlZmIiLCJ1c2VySWQiOiIyNTE2MzMxNDcifQ==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61D84475A5C5425A8C7CA6E852590C97_12</vt:lpwstr>
  </property>
</Properties>
</file>