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云璟岳金融中心</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65.4</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0　星级要求且每类指标评分项得分不小于其评分项的满分值的30%（见表1），评分项与加分项的加权总得分达到　0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53.0</w:t>
            </w:r>
          </w:p>
        </w:tc>
        <w:tc>
          <w:tcPr>
            <w:tcW w:w="1900" w:type="dxa"/>
            <w:vAlign w:val="center"/>
          </w:tcPr>
          <w:p>
            <w:pPr>
              <w:spacing w:before="0" w:after="3" w:lineRule="auto"/>
              <w:jc w:val="center"/>
            </w:pPr>
            <w:r>
              <w:rPr>
                <w:rFonts w:hint="eastAsia" w:ascii="宋体" w:hAnsi="宋体"/>
                <w:bCs/>
                <w:color w:val="000000"/>
                <w:sz w:val="24"/>
                <w:szCs w:val="24"/>
              </w:rPr>
              <w:t>41.0</w:t>
            </w:r>
          </w:p>
        </w:tc>
        <w:tc>
          <w:tcPr>
            <w:tcW w:w="1900" w:type="dxa"/>
            <w:vAlign w:val="center"/>
          </w:tcPr>
          <w:p>
            <w:pPr>
              <w:spacing w:before="0" w:after="3" w:lineRule="auto"/>
              <w:jc w:val="center"/>
            </w:pPr>
            <w:r>
              <w:rPr>
                <w:rFonts w:hint="eastAsia" w:ascii="宋体" w:hAnsi="宋体"/>
                <w:bCs/>
                <w:color w:val="000000"/>
                <w:sz w:val="24"/>
                <w:szCs w:val="24"/>
              </w:rPr>
              <w:t>32.0</w:t>
            </w:r>
          </w:p>
        </w:tc>
        <w:tc>
          <w:tcPr>
            <w:tcW w:w="1900" w:type="dxa"/>
            <w:vAlign w:val="center"/>
          </w:tcPr>
          <w:p>
            <w:pPr>
              <w:spacing w:before="0" w:after="3" w:lineRule="auto"/>
              <w:jc w:val="center"/>
            </w:pPr>
            <w:r>
              <w:rPr>
                <w:rFonts w:hint="eastAsia" w:ascii="宋体" w:hAnsi="宋体"/>
                <w:bCs/>
                <w:color w:val="000000"/>
                <w:sz w:val="24"/>
                <w:szCs w:val="24"/>
              </w:rPr>
              <w:t>75.0</w:t>
            </w:r>
          </w:p>
        </w:tc>
        <w:tc>
          <w:tcPr>
            <w:tcW w:w="1900" w:type="dxa"/>
            <w:vAlign w:val="center"/>
          </w:tcPr>
          <w:p>
            <w:pPr>
              <w:spacing w:before="0" w:after="3" w:lineRule="auto"/>
              <w:jc w:val="center"/>
            </w:pPr>
            <w:r>
              <w:rPr>
                <w:rFonts w:hint="eastAsia" w:ascii="宋体" w:hAnsi="宋体"/>
                <w:bCs/>
                <w:color w:val="000000"/>
                <w:sz w:val="24"/>
                <w:szCs w:val="24"/>
              </w:rPr>
              <w:t>48.0</w:t>
            </w:r>
          </w:p>
        </w:tc>
        <w:tc>
          <w:tcPr>
            <w:tcW w:w="1900" w:type="dxa"/>
            <w:vAlign w:val="center"/>
          </w:tcPr>
          <w:p>
            <w:pPr>
              <w:spacing w:before="0" w:after="3" w:lineRule="auto"/>
              <w:jc w:val="center"/>
            </w:pPr>
            <w:r>
              <w:rPr>
                <w:rFonts w:hint="eastAsia" w:ascii="宋体" w:hAnsi="宋体"/>
                <w:bCs/>
                <w:color w:val="000000"/>
                <w:sz w:val="24"/>
                <w:szCs w:val="24"/>
              </w:rPr>
              <w:t>5.0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65.4</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7</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5</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3</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53.0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