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AA01D">
      <w:pPr>
        <w:pStyle w:val="2"/>
        <w:jc w:val="center"/>
      </w:pPr>
    </w:p>
    <w:p w14:paraId="0BCD5DFE">
      <w:pPr>
        <w:pStyle w:val="2"/>
        <w:jc w:val="center"/>
      </w:pPr>
    </w:p>
    <w:p w14:paraId="609B8AA6">
      <w:pPr>
        <w:pStyle w:val="2"/>
        <w:jc w:val="center"/>
      </w:pPr>
    </w:p>
    <w:p w14:paraId="719E6590">
      <w:pPr>
        <w:pStyle w:val="2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 w:cs="Times New Roman"/>
          <w:b/>
          <w:kern w:val="0"/>
          <w:sz w:val="36"/>
          <w:szCs w:val="36"/>
          <w:lang w:val="en-GB"/>
        </w:rPr>
        <w:t>济南新旧动能转换起步区褚家村、崔寨村等城中村改造项目 F-</w:t>
      </w:r>
      <w:r>
        <w:rPr>
          <w:rFonts w:hint="eastAsia" w:cs="Times New Roman"/>
          <w:b/>
          <w:kern w:val="0"/>
          <w:sz w:val="36"/>
          <w:szCs w:val="36"/>
          <w:lang w:val="en-US" w:eastAsia="zh-CN"/>
        </w:rPr>
        <w:t>6</w:t>
      </w:r>
      <w:r>
        <w:rPr>
          <w:rFonts w:hint="eastAsia" w:cs="Times New Roman"/>
          <w:b/>
          <w:kern w:val="0"/>
          <w:sz w:val="36"/>
          <w:szCs w:val="36"/>
          <w:lang w:val="en-GB"/>
        </w:rPr>
        <w:t>地块</w:t>
      </w:r>
    </w:p>
    <w:p w14:paraId="3A6C3AB0">
      <w:pPr>
        <w:pStyle w:val="2"/>
        <w:jc w:val="center"/>
      </w:pPr>
      <w:r>
        <w:rPr>
          <w:rFonts w:hint="eastAsia"/>
        </w:rPr>
        <w:t>地下空间开发利用</w:t>
      </w:r>
      <w:r>
        <w:t>计算书</w:t>
      </w:r>
    </w:p>
    <w:p w14:paraId="651435AC">
      <w:pPr>
        <w:rPr>
          <w:kern w:val="44"/>
          <w:sz w:val="44"/>
          <w:szCs w:val="44"/>
        </w:rPr>
      </w:pPr>
      <w:r>
        <w:br w:type="page"/>
      </w:r>
    </w:p>
    <w:p w14:paraId="535BE91D">
      <w:pPr>
        <w:pStyle w:val="3"/>
        <w:rPr>
          <w:rStyle w:val="13"/>
          <w:i w:val="0"/>
          <w:iCs w:val="0"/>
          <w:color w:val="auto"/>
        </w:rPr>
      </w:pPr>
      <w:r>
        <w:rPr>
          <w:rStyle w:val="13"/>
          <w:rFonts w:hint="eastAsia"/>
          <w:i w:val="0"/>
          <w:iCs w:val="0"/>
          <w:color w:val="auto"/>
        </w:rPr>
        <w:t>1</w:t>
      </w:r>
      <w:r>
        <w:rPr>
          <w:rStyle w:val="13"/>
          <w:i w:val="0"/>
          <w:iCs w:val="0"/>
          <w:color w:val="auto"/>
        </w:rPr>
        <w:t xml:space="preserve"> </w:t>
      </w:r>
      <w:r>
        <w:rPr>
          <w:rStyle w:val="13"/>
          <w:rFonts w:hint="eastAsia"/>
          <w:i w:val="0"/>
          <w:iCs w:val="0"/>
          <w:color w:val="auto"/>
        </w:rPr>
        <w:t>项目</w:t>
      </w:r>
      <w:r>
        <w:rPr>
          <w:rStyle w:val="13"/>
          <w:i w:val="0"/>
          <w:iCs w:val="0"/>
          <w:color w:val="auto"/>
        </w:rPr>
        <w:t>概况</w:t>
      </w:r>
    </w:p>
    <w:p w14:paraId="303FE25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位于</w:t>
      </w:r>
      <w:r>
        <w:rPr>
          <w:rFonts w:hint="eastAsia"/>
          <w:sz w:val="24"/>
          <w:szCs w:val="24"/>
          <w:lang w:val="en-US" w:eastAsia="zh-CN"/>
        </w:rPr>
        <w:t>济南</w:t>
      </w:r>
      <w:r>
        <w:rPr>
          <w:sz w:val="24"/>
          <w:szCs w:val="24"/>
        </w:rPr>
        <w:t>市</w:t>
      </w:r>
      <w:r>
        <w:rPr>
          <w:rFonts w:hint="eastAsia"/>
          <w:sz w:val="24"/>
          <w:szCs w:val="24"/>
          <w:lang w:val="en-US" w:eastAsia="zh-CN"/>
        </w:rPr>
        <w:t>起步区崔寨安置五区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该项目</w:t>
      </w:r>
      <w:r>
        <w:rPr>
          <w:rFonts w:hint="eastAsia"/>
          <w:sz w:val="24"/>
          <w:szCs w:val="24"/>
        </w:rPr>
        <w:t>总用地</w:t>
      </w:r>
      <w:r>
        <w:rPr>
          <w:sz w:val="24"/>
          <w:szCs w:val="24"/>
        </w:rPr>
        <w:t>面积为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28490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，建筑面积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96647.25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，总户数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602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总人数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1234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，绿地率为</w:t>
      </w:r>
      <w:r>
        <w:rPr>
          <w:rFonts w:hint="eastAsia"/>
          <w:sz w:val="24"/>
          <w:szCs w:val="24"/>
          <w:u w:val="single"/>
        </w:rPr>
        <w:t xml:space="preserve"> 3</w:t>
      </w:r>
      <w:r>
        <w:rPr>
          <w:rFonts w:hint="eastAsia"/>
          <w:sz w:val="24"/>
          <w:szCs w:val="24"/>
          <w:u w:val="single"/>
          <w:lang w:val="en-US" w:eastAsia="zh-CN"/>
        </w:rPr>
        <w:t>5.1</w:t>
      </w:r>
      <w:r>
        <w:rPr>
          <w:sz w:val="24"/>
          <w:szCs w:val="24"/>
          <w:u w:val="single"/>
        </w:rPr>
        <w:t xml:space="preserve">% </w:t>
      </w:r>
      <w:r>
        <w:rPr>
          <w:rFonts w:hint="eastAsia"/>
          <w:sz w:val="24"/>
          <w:szCs w:val="24"/>
        </w:rPr>
        <w:t>。</w:t>
      </w:r>
    </w:p>
    <w:p w14:paraId="3D6C04C0">
      <w:pPr>
        <w:rPr>
          <w:sz w:val="24"/>
          <w:szCs w:val="24"/>
        </w:rPr>
      </w:pPr>
    </w:p>
    <w:p w14:paraId="316B0F4F">
      <w:pPr>
        <w:ind w:firstLine="480" w:firstLineChars="200"/>
        <w:rPr>
          <w:rFonts w:hint="eastAsia" w:eastAsiaTheme="minorEastAsia"/>
          <w:sz w:val="24"/>
          <w:lang w:eastAsia="zh-CN"/>
        </w:rPr>
      </w:pPr>
    </w:p>
    <w:p w14:paraId="733726D5">
      <w:pPr>
        <w:ind w:firstLine="480" w:firstLineChars="200"/>
        <w:jc w:val="center"/>
        <w:rPr>
          <w:rFonts w:hint="eastAsia" w:eastAsiaTheme="minorEastAsia"/>
          <w:sz w:val="24"/>
          <w:lang w:eastAsia="zh-CN"/>
        </w:rPr>
      </w:pPr>
      <w:r>
        <w:rPr>
          <w:sz w:val="24"/>
        </w:rPr>
        <w:t>项目效果图</w: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7325" cy="3676650"/>
            <wp:effectExtent l="0" t="0" r="9525" b="0"/>
            <wp:docPr id="1" name="图片 1" descr="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效果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9B11E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2B6C8991">
      <w:pPr>
        <w:spacing w:line="360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50378-2019第7.2.2 条明确要求：</w:t>
      </w:r>
    </w:p>
    <w:p w14:paraId="7DE645F4">
      <w:pPr>
        <w:spacing w:line="360" w:lineRule="auto"/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合理开发利用地下空间，评价总分值为12分，根据地下空间开发利用指标，按表7.2.2的规则评分。</w:t>
      </w:r>
    </w:p>
    <w:p w14:paraId="0616B062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p w14:paraId="2F795421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 w14:paraId="5C9D3620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tbl>
      <w:tblPr>
        <w:tblStyle w:val="9"/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4307"/>
        <w:gridCol w:w="2349"/>
        <w:gridCol w:w="758"/>
      </w:tblGrid>
      <w:tr w14:paraId="6AE0373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32560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41BDDD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19F53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 w14:paraId="473D885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B2E75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629F0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7C550B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D75DF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3FA2D74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1EA3DB0E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F17681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007F6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23D4A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5147999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65297DF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3D1FE9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1FBCF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A23E9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 w14:paraId="02DBB28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2DC304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公共建筑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435591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地下建筑面积与总用地面积的比率Rp1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A73812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1EE247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4B38CC9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15CE53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23D37390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05255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76662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073B521E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5D0CB99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C3859F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E0A54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31B6B6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 w14:paraId="09C9EEE4">
      <w:pPr>
        <w:ind w:firstLine="420"/>
        <w:rPr>
          <w:rFonts w:asciiTheme="minorEastAsia" w:hAnsiTheme="minorEastAsia"/>
          <w:sz w:val="24"/>
          <w:szCs w:val="21"/>
        </w:rPr>
      </w:pPr>
    </w:p>
    <w:p w14:paraId="60DE8033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/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45B07C1B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总建筑面积100648.06平方米，其中地上67540.06平方米，</w:t>
      </w:r>
    </w:p>
    <w:p w14:paraId="2AF810C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</w:p>
    <w:p w14:paraId="22DE57D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地下33108.0平方米</w:t>
      </w:r>
    </w:p>
    <w:p w14:paraId="012B5DE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46DC1FEE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地上建筑面积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68232.06</w:t>
      </w:r>
      <w:r>
        <w:rPr>
          <w:rFonts w:hint="eastAsia"/>
          <w:u w:val="single"/>
        </w:rPr>
        <w:t>㎡</w:t>
      </w:r>
    </w:p>
    <w:p w14:paraId="05C1C4FB">
      <w:pPr>
        <w:ind w:firstLine="420"/>
      </w:pPr>
    </w:p>
    <w:p w14:paraId="75AE8AA7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28415.19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40A0EB8">
      <w:pPr>
        <w:ind w:firstLine="420"/>
        <w:rPr>
          <w:u w:val="single"/>
        </w:rPr>
      </w:pPr>
    </w:p>
    <w:p w14:paraId="50E391F8">
      <w:pPr>
        <w:ind w:firstLine="420"/>
      </w:pPr>
      <w:r>
        <w:rPr>
          <w:rFonts w:asciiTheme="minorEastAsia" w:hAnsiTheme="minorEastAsia"/>
          <w:sz w:val="24"/>
          <w:szCs w:val="21"/>
        </w:rPr>
        <w:t>Rr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地上建筑面积</w:t>
      </w:r>
    </w:p>
    <w:p w14:paraId="4563AADD">
      <w:pPr>
        <w:ind w:left="1260" w:firstLine="210" w:firstLineChars="100"/>
      </w:pPr>
    </w:p>
    <w:p w14:paraId="1B9EBCF9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28415.19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/</w:t>
      </w:r>
      <w:r>
        <w:rPr>
          <w:rFonts w:hint="eastAsia"/>
          <w:u w:val="single"/>
          <w:lang w:val="en-US" w:eastAsia="zh-CN"/>
        </w:rPr>
        <w:t>68232.06</w:t>
      </w:r>
      <w:r>
        <w:rPr>
          <w:rFonts w:hint="eastAsia"/>
          <w:u w:val="single"/>
        </w:rPr>
        <w:t xml:space="preserve"> 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41.6%</w:t>
      </w:r>
      <w:r>
        <w:rPr>
          <w:u w:val="single"/>
        </w:rPr>
        <w:t xml:space="preserve"> </w:t>
      </w:r>
    </w:p>
    <w:p w14:paraId="33C46A62">
      <w:pPr>
        <w:ind w:firstLine="420"/>
        <w:rPr>
          <w:u w:val="single"/>
        </w:rPr>
      </w:pPr>
    </w:p>
    <w:p w14:paraId="113207D9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地下一层建筑面积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u w:val="single"/>
          <w:lang w:val="en-US" w:eastAsia="zh-CN"/>
        </w:rPr>
        <w:t>14207.5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763C5EE">
      <w:pPr>
        <w:ind w:firstLine="420"/>
      </w:pPr>
    </w:p>
    <w:p w14:paraId="59AD1AD8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总用地面积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28490.00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D41BB3D"/>
    <w:p w14:paraId="6DB8FD1B">
      <w:pPr>
        <w:ind w:firstLine="420"/>
      </w:pPr>
      <w:r>
        <w:rPr>
          <w:rFonts w:asciiTheme="minorEastAsia" w:hAnsiTheme="minorEastAsia"/>
          <w:sz w:val="24"/>
          <w:szCs w:val="21"/>
        </w:rPr>
        <w:t>Rp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地下一层建筑面积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总用地面积</w:t>
      </w:r>
    </w:p>
    <w:p w14:paraId="6CD2EEDD">
      <w:pPr>
        <w:ind w:left="1260" w:firstLine="210" w:firstLineChars="100"/>
      </w:pPr>
    </w:p>
    <w:p w14:paraId="73229070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rFonts w:hint="eastAsia"/>
          <w:u w:val="single"/>
          <w:lang w:val="en-US" w:eastAsia="zh-CN"/>
        </w:rPr>
        <w:t>14207.5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28490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49.9%</w:t>
      </w:r>
      <w:r>
        <w:rPr>
          <w:u w:val="single"/>
        </w:rPr>
        <w:t xml:space="preserve"> </w:t>
      </w:r>
    </w:p>
    <w:p w14:paraId="100C1825">
      <w:pPr>
        <w:rPr>
          <w:u w:val="single"/>
        </w:rPr>
      </w:pPr>
    </w:p>
    <w:p w14:paraId="3B06F5DE">
      <w:pPr>
        <w:rPr>
          <w:u w:val="single"/>
        </w:rPr>
      </w:pPr>
    </w:p>
    <w:p w14:paraId="151328DB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1B131FEB">
      <w:r>
        <w:tab/>
      </w:r>
      <w:r>
        <w:rPr>
          <w:rFonts w:hint="eastAsia"/>
        </w:rPr>
        <w:t>经验算</w:t>
      </w:r>
      <w:r>
        <w:t>，</w:t>
      </w:r>
      <w:r>
        <w:rPr>
          <w:rFonts w:asciiTheme="minorEastAsia" w:hAnsiTheme="minorEastAsia"/>
          <w:sz w:val="24"/>
          <w:szCs w:val="21"/>
        </w:rPr>
        <w:t>地下建筑面积与地上建筑面积的比率Rr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49%</w:t>
      </w:r>
      <w:r>
        <w:rPr>
          <w:rFonts w:hint="eastAsia" w:asciiTheme="minorEastAsia" w:hAnsiTheme="minorEastAsia"/>
          <w:sz w:val="24"/>
          <w:szCs w:val="21"/>
        </w:rPr>
        <w:t>；</w:t>
      </w:r>
      <w:r>
        <w:rPr>
          <w:rFonts w:asciiTheme="minorEastAsia" w:hAnsiTheme="minorEastAsia"/>
          <w:sz w:val="24"/>
          <w:szCs w:val="21"/>
        </w:rPr>
        <w:t>地下一层建筑面积与总用地面积的比率Rp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49.9</w:t>
      </w:r>
      <w:bookmarkStart w:id="0" w:name="_GoBack"/>
      <w:bookmarkEnd w:id="0"/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%</w:t>
      </w:r>
      <w:r>
        <w:rPr>
          <w:rFonts w:hint="eastAsia" w:asciiTheme="minorEastAsia" w:hAnsiTheme="minorEastAsia"/>
          <w:sz w:val="24"/>
          <w:szCs w:val="21"/>
        </w:rPr>
        <w:t>；满足规范</w:t>
      </w:r>
      <w:r>
        <w:rPr>
          <w:rFonts w:asciiTheme="minorEastAsia" w:hAnsiTheme="minorEastAsia"/>
          <w:sz w:val="24"/>
          <w:szCs w:val="21"/>
        </w:rPr>
        <w:t>要求，得</w:t>
      </w:r>
      <w:r>
        <w:rPr>
          <w:rFonts w:hint="eastAsia" w:asciiTheme="minorEastAsia" w:hAnsiTheme="minorEastAsia"/>
          <w:sz w:val="24"/>
          <w:szCs w:val="21"/>
          <w:highlight w:val="cyan"/>
        </w:rPr>
        <w:t>12</w:t>
      </w:r>
      <w:r>
        <w:rPr>
          <w:rFonts w:hint="eastAsia" w:asciiTheme="minorEastAsia" w:hAnsiTheme="minor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 w14:paraId="47BC435A">
      <w:pPr>
        <w:rPr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57A2E4D-A725-4AA4-B94E-43F788966A2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AC75E4B-54D8-4EE5-8AED-D5B7CBE7122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E007168-5FA9-4082-914B-CC56DC8A56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39242DD-FFF2-4BEC-A68C-EC7FA02325F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B3EE94EC-DCA1-4989-8D0E-6441A59D1469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6" w:fontKey="{9B40F56E-CECE-4F8A-9743-E210C95948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0F1589"/>
    <w:rsid w:val="0018577F"/>
    <w:rsid w:val="00286402"/>
    <w:rsid w:val="003F4E9B"/>
    <w:rsid w:val="00427EC4"/>
    <w:rsid w:val="00625AA6"/>
    <w:rsid w:val="00C12105"/>
    <w:rsid w:val="00D139C5"/>
    <w:rsid w:val="00D75A5F"/>
    <w:rsid w:val="00E94094"/>
    <w:rsid w:val="1C8B59DD"/>
    <w:rsid w:val="496833C9"/>
    <w:rsid w:val="4BE807F1"/>
    <w:rsid w:val="4CAC623C"/>
    <w:rsid w:val="61DC6B01"/>
    <w:rsid w:val="6BDF0965"/>
    <w:rsid w:val="7672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2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1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副标题 字符"/>
    <w:basedOn w:val="10"/>
    <w:link w:val="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3">
    <w:name w:val="Subtle Emphasis"/>
    <w:basedOn w:val="1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4">
    <w:name w:val="标题 字符"/>
    <w:basedOn w:val="10"/>
    <w:link w:val="8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5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7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0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484</Words>
  <Characters>662</Characters>
  <Lines>4</Lines>
  <Paragraphs>1</Paragraphs>
  <TotalTime>18</TotalTime>
  <ScaleCrop>false</ScaleCrop>
  <LinksUpToDate>false</LinksUpToDate>
  <CharactersWithSpaces>718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要咩有咩~</cp:lastModifiedBy>
  <dcterms:modified xsi:type="dcterms:W3CDTF">2025-06-18T11:57:36Z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eyJoZGlkIjoiM2IyNjBlZmZhZjBlZDgzZmRlOTBkM2U2Mzg4NjU4ZWUiLCJ1c2VySWQiOiIyNzkxOTMyNDcifQ==</vt:lpwstr>
  </property>
  <property fmtid="{D5CDD505-2E9C-101B-9397-08002B2CF9AE}" pid="3" name="KSOProductBuildVer">
    <vt:lpwstr>2052-12.1.0.21541</vt:lpwstr>
  </property>
  <property fmtid="{D5CDD505-2E9C-101B-9397-08002B2CF9AE}" pid="4" name="ICV">
    <vt:lpwstr>CF9E0778D132498DB8F9DC33C89DF629_12</vt:lpwstr>
  </property>
</Properties>
</file>