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0E9048">
      <w:pPr>
        <w:pStyle w:val="2"/>
        <w:jc w:val="center"/>
      </w:pPr>
    </w:p>
    <w:p w14:paraId="0B72C99C">
      <w:pPr>
        <w:pStyle w:val="2"/>
        <w:jc w:val="center"/>
      </w:pPr>
    </w:p>
    <w:p w14:paraId="3FDCFE5D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3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3F6AA9C4">
      <w:pPr>
        <w:pStyle w:val="2"/>
        <w:jc w:val="center"/>
      </w:pPr>
      <w:r>
        <w:rPr>
          <w:rFonts w:hint="eastAsia"/>
        </w:rPr>
        <w:t>场地年径流量控制率计算书</w:t>
      </w:r>
    </w:p>
    <w:p w14:paraId="501F32D0"/>
    <w:p w14:paraId="33465C8E"/>
    <w:p w14:paraId="506147C1"/>
    <w:p w14:paraId="5607BC84"/>
    <w:p w14:paraId="04F816EE"/>
    <w:p w14:paraId="09BCAF37"/>
    <w:p w14:paraId="20BCA67A"/>
    <w:p w14:paraId="7D10B4CB"/>
    <w:p w14:paraId="757183C7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019DBBBD"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咨询单位：山东省建筑设计研究院有限公司</w:t>
      </w:r>
    </w:p>
    <w:p w14:paraId="35E6C8D9"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 w14:paraId="607D7D6A">
      <w:pPr>
        <w:jc w:val="center"/>
        <w:rPr>
          <w:rFonts w:hint="default"/>
          <w:b/>
          <w:bCs/>
          <w:sz w:val="30"/>
          <w:szCs w:val="30"/>
          <w:lang w:val="en-US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2025.07</w:t>
      </w:r>
    </w:p>
    <w:p w14:paraId="127300EF">
      <w:pPr>
        <w:jc w:val="center"/>
        <w:rPr>
          <w:rFonts w:ascii="宋体" w:hAnsi="宋体" w:eastAsia="宋体"/>
          <w:sz w:val="32"/>
          <w:szCs w:val="32"/>
        </w:rPr>
      </w:pPr>
    </w:p>
    <w:p w14:paraId="761C72E0">
      <w:pPr>
        <w:jc w:val="center"/>
        <w:rPr>
          <w:rFonts w:ascii="宋体" w:hAnsi="宋体" w:eastAsia="宋体"/>
          <w:sz w:val="32"/>
          <w:szCs w:val="32"/>
        </w:rPr>
      </w:pPr>
    </w:p>
    <w:p w14:paraId="669A7E75">
      <w:pPr>
        <w:jc w:val="center"/>
        <w:rPr>
          <w:rFonts w:ascii="宋体" w:hAnsi="宋体" w:eastAsia="宋体"/>
          <w:sz w:val="32"/>
          <w:szCs w:val="32"/>
        </w:rPr>
      </w:pPr>
    </w:p>
    <w:p w14:paraId="14AB898C">
      <w:pPr>
        <w:jc w:val="center"/>
        <w:rPr>
          <w:rFonts w:ascii="宋体" w:hAnsi="宋体" w:eastAsia="宋体"/>
          <w:sz w:val="32"/>
          <w:szCs w:val="32"/>
        </w:rPr>
      </w:pPr>
    </w:p>
    <w:p w14:paraId="49141D1E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3C9DDF43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579FA66B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项目概况</w:t>
      </w:r>
    </w:p>
    <w:p w14:paraId="50517D58">
      <w:p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本项目位于济南市起步区崔寨安置五区，周边</w:t>
      </w:r>
      <w:r>
        <w:rPr>
          <w:rFonts w:hint="eastAsia" w:ascii="宋体" w:hAnsi="宋体" w:eastAsia="宋体"/>
          <w:sz w:val="28"/>
          <w:szCs w:val="28"/>
        </w:rPr>
        <w:t>各种配套比较齐全</w:t>
      </w:r>
      <w:r>
        <w:rPr>
          <w:rFonts w:ascii="宋体" w:hAnsi="宋体" w:eastAsia="宋体"/>
          <w:sz w:val="28"/>
          <w:szCs w:val="28"/>
        </w:rPr>
        <w:t>。</w:t>
      </w:r>
    </w:p>
    <w:p w14:paraId="303FE25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项目</w:t>
      </w:r>
      <w:r>
        <w:rPr>
          <w:sz w:val="28"/>
          <w:szCs w:val="28"/>
        </w:rPr>
        <w:t>位于</w:t>
      </w:r>
      <w:r>
        <w:rPr>
          <w:rFonts w:hint="eastAsia"/>
          <w:sz w:val="28"/>
          <w:szCs w:val="28"/>
          <w:lang w:val="en-US" w:eastAsia="zh-CN"/>
        </w:rPr>
        <w:t>济南</w:t>
      </w:r>
      <w:r>
        <w:rPr>
          <w:sz w:val="28"/>
          <w:szCs w:val="28"/>
        </w:rPr>
        <w:t>市</w:t>
      </w:r>
      <w:r>
        <w:rPr>
          <w:rFonts w:hint="eastAsia"/>
          <w:sz w:val="28"/>
          <w:szCs w:val="28"/>
          <w:lang w:val="en-US" w:eastAsia="zh-CN"/>
        </w:rPr>
        <w:t>起步区崔寨安置五区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该项目</w:t>
      </w:r>
      <w:r>
        <w:rPr>
          <w:rFonts w:hint="eastAsia"/>
          <w:sz w:val="28"/>
          <w:szCs w:val="28"/>
        </w:rPr>
        <w:t>总用地</w:t>
      </w:r>
      <w:r>
        <w:rPr>
          <w:sz w:val="28"/>
          <w:szCs w:val="28"/>
        </w:rPr>
        <w:t>面积为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>26245.00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平方米</w:t>
      </w:r>
      <w:r>
        <w:rPr>
          <w:sz w:val="28"/>
          <w:szCs w:val="28"/>
        </w:rPr>
        <w:t>，建筑面积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>93210.95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平方米</w:t>
      </w:r>
      <w:r>
        <w:rPr>
          <w:sz w:val="28"/>
          <w:szCs w:val="28"/>
        </w:rPr>
        <w:t>，总户数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>580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总人数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>1023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人</w:t>
      </w:r>
      <w:r>
        <w:rPr>
          <w:sz w:val="28"/>
          <w:szCs w:val="28"/>
        </w:rPr>
        <w:t>，绿地率为</w:t>
      </w:r>
      <w:r>
        <w:rPr>
          <w:rFonts w:hint="eastAsia"/>
          <w:sz w:val="28"/>
          <w:szCs w:val="28"/>
          <w:u w:val="single"/>
        </w:rPr>
        <w:t xml:space="preserve"> 3</w:t>
      </w:r>
      <w:r>
        <w:rPr>
          <w:rFonts w:hint="eastAsia"/>
          <w:sz w:val="28"/>
          <w:szCs w:val="28"/>
          <w:u w:val="single"/>
          <w:lang w:val="en-US" w:eastAsia="zh-CN"/>
        </w:rPr>
        <w:t>5.1</w:t>
      </w:r>
      <w:r>
        <w:rPr>
          <w:sz w:val="28"/>
          <w:szCs w:val="28"/>
          <w:u w:val="single"/>
        </w:rPr>
        <w:t xml:space="preserve">% </w:t>
      </w:r>
      <w:r>
        <w:rPr>
          <w:rFonts w:hint="eastAsia"/>
          <w:sz w:val="28"/>
          <w:szCs w:val="28"/>
        </w:rPr>
        <w:t>。</w:t>
      </w:r>
    </w:p>
    <w:p w14:paraId="47408FA6"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7325" cy="3676650"/>
            <wp:effectExtent l="0" t="0" r="9525" b="0"/>
            <wp:docPr id="1" name="图片 1" descr="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效果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3FC4"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</w:p>
    <w:p w14:paraId="6C89FC19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图1项目鸟瞰图</w:t>
      </w:r>
    </w:p>
    <w:p w14:paraId="379CAD03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</w:t>
      </w:r>
      <w:r>
        <w:rPr>
          <w:rFonts w:ascii="宋体" w:hAnsi="宋体" w:eastAsia="宋体"/>
          <w:sz w:val="32"/>
          <w:szCs w:val="32"/>
        </w:rPr>
        <w:t xml:space="preserve">. </w:t>
      </w:r>
      <w:r>
        <w:rPr>
          <w:rFonts w:hint="eastAsia" w:ascii="宋体" w:hAnsi="宋体" w:eastAsia="宋体"/>
          <w:sz w:val="32"/>
          <w:szCs w:val="32"/>
        </w:rPr>
        <w:t>气象条件</w:t>
      </w:r>
    </w:p>
    <w:p w14:paraId="473C77AB">
      <w:pPr>
        <w:ind w:firstLine="640" w:firstLineChars="20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济南</w:t>
      </w:r>
      <w:r>
        <w:rPr>
          <w:rFonts w:hint="eastAsia" w:ascii="宋体" w:hAnsi="宋体" w:eastAsia="宋体"/>
          <w:sz w:val="32"/>
          <w:szCs w:val="32"/>
        </w:rPr>
        <w:t>属暖温带温润性季风气候，四季分明，雨热同季，春季较干多风，夏季高温多雨，秋季天高气爽，冬季冷而少雪，全年平均气温</w:t>
      </w:r>
      <w:r>
        <w:rPr>
          <w:rFonts w:ascii="宋体" w:hAnsi="宋体" w:eastAsia="宋体"/>
          <w:sz w:val="32"/>
          <w:szCs w:val="32"/>
        </w:rPr>
        <w:t>13摄氏度，每年平均降水量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697</w:t>
      </w:r>
      <w:r>
        <w:rPr>
          <w:rFonts w:ascii="宋体" w:hAnsi="宋体" w:eastAsia="宋体"/>
          <w:sz w:val="32"/>
          <w:szCs w:val="32"/>
        </w:rPr>
        <w:t>毫米，年内无霜期200多天。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济南</w:t>
      </w:r>
      <w:r>
        <w:rPr>
          <w:rFonts w:hint="eastAsia" w:ascii="宋体" w:hAnsi="宋体" w:eastAsia="宋体"/>
          <w:sz w:val="32"/>
          <w:szCs w:val="32"/>
        </w:rPr>
        <w:t>市降雨量资料见表1（数据来自山东气象局网站）。</w:t>
      </w:r>
    </w:p>
    <w:p w14:paraId="2FBAADC5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表1年降雨量气候资料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34"/>
        <w:gridCol w:w="633"/>
        <w:gridCol w:w="632"/>
        <w:gridCol w:w="632"/>
        <w:gridCol w:w="633"/>
        <w:gridCol w:w="634"/>
        <w:gridCol w:w="666"/>
        <w:gridCol w:w="666"/>
        <w:gridCol w:w="634"/>
        <w:gridCol w:w="663"/>
        <w:gridCol w:w="663"/>
        <w:gridCol w:w="606"/>
      </w:tblGrid>
      <w:tr w14:paraId="39A7B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4" w:type="dxa"/>
          </w:tcPr>
          <w:p w14:paraId="0B514C1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月份</w:t>
            </w:r>
          </w:p>
        </w:tc>
        <w:tc>
          <w:tcPr>
            <w:tcW w:w="634" w:type="dxa"/>
          </w:tcPr>
          <w:p w14:paraId="5BBF3D76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33" w:type="dxa"/>
          </w:tcPr>
          <w:p w14:paraId="4A2E3D3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</w:p>
        </w:tc>
        <w:tc>
          <w:tcPr>
            <w:tcW w:w="632" w:type="dxa"/>
          </w:tcPr>
          <w:p w14:paraId="6A4ABE5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</w:p>
        </w:tc>
        <w:tc>
          <w:tcPr>
            <w:tcW w:w="632" w:type="dxa"/>
          </w:tcPr>
          <w:p w14:paraId="5A29ACB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</w:p>
        </w:tc>
        <w:tc>
          <w:tcPr>
            <w:tcW w:w="633" w:type="dxa"/>
          </w:tcPr>
          <w:p w14:paraId="6CAB90E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5</w:t>
            </w:r>
          </w:p>
        </w:tc>
        <w:tc>
          <w:tcPr>
            <w:tcW w:w="634" w:type="dxa"/>
          </w:tcPr>
          <w:p w14:paraId="256E7BC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</w:p>
        </w:tc>
        <w:tc>
          <w:tcPr>
            <w:tcW w:w="634" w:type="dxa"/>
          </w:tcPr>
          <w:p w14:paraId="44FE6752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</w:p>
        </w:tc>
        <w:tc>
          <w:tcPr>
            <w:tcW w:w="634" w:type="dxa"/>
          </w:tcPr>
          <w:p w14:paraId="02E02B65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8</w:t>
            </w:r>
          </w:p>
        </w:tc>
        <w:tc>
          <w:tcPr>
            <w:tcW w:w="634" w:type="dxa"/>
          </w:tcPr>
          <w:p w14:paraId="271C488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</w:p>
        </w:tc>
        <w:tc>
          <w:tcPr>
            <w:tcW w:w="663" w:type="dxa"/>
          </w:tcPr>
          <w:p w14:paraId="6BE99DA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0</w:t>
            </w:r>
          </w:p>
        </w:tc>
        <w:tc>
          <w:tcPr>
            <w:tcW w:w="663" w:type="dxa"/>
          </w:tcPr>
          <w:p w14:paraId="052378D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06" w:type="dxa"/>
          </w:tcPr>
          <w:p w14:paraId="13E7DF8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2</w:t>
            </w:r>
          </w:p>
        </w:tc>
      </w:tr>
      <w:tr w14:paraId="024F2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 w14:paraId="5437D9E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降雨量（mm）</w:t>
            </w:r>
          </w:p>
        </w:tc>
        <w:tc>
          <w:tcPr>
            <w:tcW w:w="634" w:type="dxa"/>
          </w:tcPr>
          <w:p w14:paraId="0EE7D03B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3" w:type="dxa"/>
          </w:tcPr>
          <w:p w14:paraId="58DEC53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2" w:type="dxa"/>
          </w:tcPr>
          <w:p w14:paraId="365C941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8.3</w:t>
            </w:r>
          </w:p>
        </w:tc>
        <w:tc>
          <w:tcPr>
            <w:tcW w:w="632" w:type="dxa"/>
          </w:tcPr>
          <w:p w14:paraId="4CA873C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7.0</w:t>
            </w:r>
          </w:p>
        </w:tc>
        <w:tc>
          <w:tcPr>
            <w:tcW w:w="633" w:type="dxa"/>
          </w:tcPr>
          <w:p w14:paraId="17D1BE0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  <w:r>
              <w:rPr>
                <w:rFonts w:ascii="宋体" w:hAnsi="宋体" w:eastAsia="宋体"/>
                <w:sz w:val="18"/>
                <w:szCs w:val="18"/>
              </w:rPr>
              <w:t>3.6</w:t>
            </w:r>
          </w:p>
        </w:tc>
        <w:tc>
          <w:tcPr>
            <w:tcW w:w="634" w:type="dxa"/>
          </w:tcPr>
          <w:p w14:paraId="1D4420F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0.6</w:t>
            </w:r>
          </w:p>
        </w:tc>
        <w:tc>
          <w:tcPr>
            <w:tcW w:w="634" w:type="dxa"/>
          </w:tcPr>
          <w:p w14:paraId="1C85894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09.9</w:t>
            </w:r>
          </w:p>
        </w:tc>
        <w:tc>
          <w:tcPr>
            <w:tcW w:w="634" w:type="dxa"/>
          </w:tcPr>
          <w:p w14:paraId="3F0A0E0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51.4</w:t>
            </w:r>
          </w:p>
        </w:tc>
        <w:tc>
          <w:tcPr>
            <w:tcW w:w="634" w:type="dxa"/>
          </w:tcPr>
          <w:p w14:paraId="3C26F5C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5.6</w:t>
            </w:r>
          </w:p>
        </w:tc>
        <w:tc>
          <w:tcPr>
            <w:tcW w:w="663" w:type="dxa"/>
          </w:tcPr>
          <w:p w14:paraId="75178387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  <w:r>
              <w:rPr>
                <w:rFonts w:ascii="宋体" w:hAnsi="宋体" w:eastAsia="宋体"/>
                <w:sz w:val="18"/>
                <w:szCs w:val="18"/>
              </w:rPr>
              <w:t>9.6</w:t>
            </w:r>
          </w:p>
        </w:tc>
        <w:tc>
          <w:tcPr>
            <w:tcW w:w="663" w:type="dxa"/>
          </w:tcPr>
          <w:p w14:paraId="3D47D8A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1.7</w:t>
            </w:r>
          </w:p>
        </w:tc>
        <w:tc>
          <w:tcPr>
            <w:tcW w:w="606" w:type="dxa"/>
          </w:tcPr>
          <w:p w14:paraId="60A0FD5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.7</w:t>
            </w:r>
          </w:p>
        </w:tc>
      </w:tr>
    </w:tbl>
    <w:p w14:paraId="522C86A6">
      <w:pPr>
        <w:rPr>
          <w:rFonts w:ascii="宋体" w:hAnsi="宋体" w:eastAsia="宋体"/>
          <w:sz w:val="32"/>
          <w:szCs w:val="32"/>
        </w:rPr>
      </w:pPr>
    </w:p>
    <w:p w14:paraId="494A7863">
      <w:pPr>
        <w:numPr>
          <w:ilvl w:val="0"/>
          <w:numId w:val="0"/>
        </w:num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 w:cstheme="minorBidi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宋体" w:hAnsi="宋体" w:eastAsia="宋体"/>
          <w:sz w:val="32"/>
          <w:szCs w:val="32"/>
        </w:rPr>
        <w:t>场地径流量控制措施</w:t>
      </w:r>
    </w:p>
    <w:p w14:paraId="393CBE5E">
      <w:pPr>
        <w:numPr>
          <w:ilvl w:val="0"/>
          <w:numId w:val="0"/>
        </w:numPr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273675" cy="4335780"/>
            <wp:effectExtent l="0" t="0" r="14605" b="7620"/>
            <wp:docPr id="3" name="图片 3" descr="70bd0e943e3751ea6a2606a582ae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bd0e943e3751ea6a2606a582aea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94C8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透水铺装</w:t>
      </w:r>
    </w:p>
    <w:p w14:paraId="34C6B665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</w:p>
    <w:p w14:paraId="52325281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本项目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院</w:t>
      </w:r>
      <w:r>
        <w:rPr>
          <w:rFonts w:hint="eastAsia" w:ascii="宋体" w:hAnsi="宋体" w:eastAsia="宋体"/>
          <w:sz w:val="32"/>
          <w:szCs w:val="32"/>
        </w:rPr>
        <w:t>区内道路，停车场所、活动场等都采用透水铺装，透水铺装面积达到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2384.8</w:t>
      </w:r>
      <w:r>
        <w:rPr>
          <w:rFonts w:hint="eastAsia" w:ascii="宋体" w:hAnsi="宋体" w:eastAsia="宋体"/>
          <w:sz w:val="32"/>
          <w:szCs w:val="32"/>
        </w:rPr>
        <w:t>㎡，主要铺装材料为透水砖。</w:t>
      </w:r>
    </w:p>
    <w:p w14:paraId="210683A2"/>
    <w:p w14:paraId="548B1134">
      <w:pPr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3.2  蓄水模块</w:t>
      </w:r>
    </w:p>
    <w:p w14:paraId="4C25F940"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t>根据现场情况将部分路面雨水通过地表有组织排放消能后，通过雨水篦子进入雨水管网；建筑屋面雨水通过落水管有组织进入雨水管网；管网内的雨水通过分流池进入蓄水模块，通过净化循环后用于绿地灌溉。</w:t>
      </w:r>
    </w:p>
    <w:p w14:paraId="5462B504"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1889125"/>
            <wp:effectExtent l="0" t="0" r="127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4A6D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4场地径流量控制率计算</w:t>
      </w:r>
    </w:p>
    <w:p w14:paraId="4DAE2199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设计控制降雨量</w:t>
      </w:r>
    </w:p>
    <w:p w14:paraId="33AEC883">
      <w:pPr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根据现行国家标准《绿色建筑评价标准》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D</w:t>
      </w:r>
      <w:r>
        <w:rPr>
          <w:rFonts w:ascii="宋体" w:hAnsi="宋体" w:eastAsia="宋体"/>
          <w:sz w:val="32"/>
          <w:szCs w:val="32"/>
        </w:rPr>
        <w:t>B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37</w:t>
      </w:r>
      <w:r>
        <w:rPr>
          <w:rFonts w:ascii="宋体" w:hAnsi="宋体" w:eastAsia="宋体"/>
          <w:sz w:val="32"/>
          <w:szCs w:val="32"/>
        </w:rPr>
        <w:t>/T-50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97</w:t>
      </w:r>
      <w:r>
        <w:rPr>
          <w:rFonts w:ascii="宋体" w:hAnsi="宋体" w:eastAsia="宋体"/>
          <w:sz w:val="32"/>
          <w:szCs w:val="32"/>
        </w:rPr>
        <w:t>-20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21</w:t>
      </w:r>
      <w:r>
        <w:rPr>
          <w:rFonts w:hint="eastAsia" w:ascii="宋体" w:hAnsi="宋体" w:eastAsia="宋体"/>
          <w:sz w:val="32"/>
          <w:szCs w:val="32"/>
        </w:rPr>
        <w:t>，部分地区年径流量对应的设计控制雨量见表2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若达到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年径流量控制率，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对应</w:t>
      </w:r>
      <w:r>
        <w:rPr>
          <w:rFonts w:hint="eastAsia" w:ascii="宋体" w:hAnsi="宋体" w:eastAsia="宋体"/>
          <w:sz w:val="32"/>
          <w:szCs w:val="32"/>
        </w:rPr>
        <w:t>设计控制雨量为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28.5</w:t>
      </w:r>
      <w:r>
        <w:rPr>
          <w:rFonts w:hint="eastAsia" w:ascii="宋体" w:hAnsi="宋体" w:eastAsia="宋体"/>
          <w:sz w:val="32"/>
          <w:szCs w:val="32"/>
        </w:rPr>
        <w:t>。场地内雨水径流面积为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26244</w:t>
      </w:r>
      <w:r>
        <w:rPr>
          <w:rFonts w:hint="eastAsia" w:ascii="宋体" w:hAnsi="宋体" w:eastAsia="宋体"/>
          <w:sz w:val="32"/>
          <w:szCs w:val="32"/>
        </w:rPr>
        <w:t>㎡</w:t>
      </w:r>
      <w:bookmarkStart w:id="0" w:name="_GoBack"/>
      <w:bookmarkEnd w:id="0"/>
    </w:p>
    <w:p w14:paraId="6CFE550E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"C:\\Users\\Documents\\Tencent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 w14:paraId="6B5FBEC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雨量径流系数及面积见小表：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3FC75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6A957A1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下垫面种类</w:t>
            </w:r>
          </w:p>
        </w:tc>
        <w:tc>
          <w:tcPr>
            <w:tcW w:w="2840" w:type="dxa"/>
          </w:tcPr>
          <w:p w14:paraId="2E2AD092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雨量径流系数</w:t>
            </w:r>
          </w:p>
        </w:tc>
        <w:tc>
          <w:tcPr>
            <w:tcW w:w="2840" w:type="dxa"/>
          </w:tcPr>
          <w:p w14:paraId="1B47F187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面积（</w:t>
            </w:r>
            <w:r>
              <w:rPr>
                <w:rFonts w:hint="eastAsia"/>
                <w:lang w:val="en-US" w:eastAsia="zh-CN"/>
              </w:rPr>
              <w:t>㎡）</w:t>
            </w:r>
          </w:p>
        </w:tc>
      </w:tr>
      <w:tr w14:paraId="64D02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F5952DB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硬屋面、未铺石子的平屋面</w:t>
            </w:r>
          </w:p>
        </w:tc>
        <w:tc>
          <w:tcPr>
            <w:tcW w:w="2840" w:type="dxa"/>
          </w:tcPr>
          <w:p w14:paraId="05955A2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0F50A40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5248.8</w:t>
            </w:r>
          </w:p>
        </w:tc>
      </w:tr>
      <w:tr w14:paraId="79F43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0CA638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绿化</w:t>
            </w:r>
          </w:p>
        </w:tc>
        <w:tc>
          <w:tcPr>
            <w:tcW w:w="2840" w:type="dxa"/>
          </w:tcPr>
          <w:p w14:paraId="2E5BC60D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0.15</w:t>
            </w:r>
          </w:p>
        </w:tc>
        <w:tc>
          <w:tcPr>
            <w:tcW w:w="2840" w:type="dxa"/>
          </w:tcPr>
          <w:p w14:paraId="2101C04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9185.4</w:t>
            </w:r>
          </w:p>
        </w:tc>
      </w:tr>
      <w:tr w14:paraId="67313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4DA78D6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透水铺装地面</w:t>
            </w:r>
          </w:p>
        </w:tc>
        <w:tc>
          <w:tcPr>
            <w:tcW w:w="2840" w:type="dxa"/>
          </w:tcPr>
          <w:p w14:paraId="28F5C0EF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0.34</w:t>
            </w:r>
          </w:p>
        </w:tc>
        <w:tc>
          <w:tcPr>
            <w:tcW w:w="2840" w:type="dxa"/>
          </w:tcPr>
          <w:p w14:paraId="3D226A39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2384.8</w:t>
            </w:r>
          </w:p>
        </w:tc>
      </w:tr>
      <w:tr w14:paraId="760E5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467207E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不透水铺装</w:t>
            </w:r>
          </w:p>
        </w:tc>
        <w:tc>
          <w:tcPr>
            <w:tcW w:w="2840" w:type="dxa"/>
          </w:tcPr>
          <w:p w14:paraId="59C112D5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408191F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9343.40</w:t>
            </w:r>
          </w:p>
        </w:tc>
      </w:tr>
    </w:tbl>
    <w:p w14:paraId="58E96B2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场地综合径流系数：</w:t>
      </w:r>
    </w:p>
    <w:p w14:paraId="27731CEB">
      <w:pPr>
        <w:numPr>
          <w:ilvl w:val="0"/>
          <w:numId w:val="0"/>
        </w:numPr>
        <w:ind w:firstLine="600" w:firstLineChars="200"/>
        <w:rPr>
          <w:rFonts w:ascii="宋体" w:hAnsi="宋体"/>
          <w:position w:val="-46"/>
          <w:sz w:val="30"/>
          <w:szCs w:val="30"/>
        </w:rPr>
      </w:pPr>
      <w:r>
        <w:rPr>
          <w:rFonts w:ascii="宋体" w:hAnsi="宋体"/>
          <w:position w:val="-66"/>
          <w:sz w:val="30"/>
          <w:szCs w:val="30"/>
        </w:rPr>
        <w:object>
          <v:shape id="_x0000_i1025" o:spt="75" type="#_x0000_t75" style="height:72pt;width:393.2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7">
            <o:LockedField>false</o:LockedField>
          </o:OLEObject>
        </w:object>
      </w:r>
    </w:p>
    <w:p w14:paraId="0F140BE6">
      <w:pPr>
        <w:numPr>
          <w:ilvl w:val="0"/>
          <w:numId w:val="0"/>
        </w:num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则场地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径流总量</w:t>
      </w:r>
      <w:r>
        <w:rPr>
          <w:rFonts w:hint="eastAsia" w:ascii="宋体" w:hAnsi="宋体" w:eastAsia="宋体"/>
          <w:sz w:val="32"/>
          <w:szCs w:val="32"/>
        </w:rPr>
        <w:t>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ZCh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10*</w:t>
      </w:r>
      <w:r>
        <w:rPr>
          <w:rFonts w:ascii="宋体" w:hAnsi="宋体" w:eastAsia="宋体"/>
          <w:sz w:val="32"/>
          <w:szCs w:val="32"/>
        </w:rPr>
        <w:t>0.</w:t>
      </w: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</w:t>
      </w:r>
      <w:r>
        <w:rPr>
          <w:rFonts w:ascii="宋体" w:hAnsi="宋体" w:eastAsia="宋体"/>
          <w:sz w:val="32"/>
          <w:szCs w:val="32"/>
        </w:rPr>
        <w:t>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28.5*2.6244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420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0C5C3C8D">
      <w:pPr>
        <w:jc w:val="left"/>
        <w:rPr>
          <w:rFonts w:hint="default" w:ascii="宋体" w:hAnsi="宋体" w:eastAsia="宋体"/>
          <w:sz w:val="32"/>
          <w:szCs w:val="32"/>
          <w:lang w:val="en-US" w:eastAsia="zh-CN"/>
        </w:rPr>
      </w:pPr>
    </w:p>
    <w:p w14:paraId="025CE31C">
      <w:pPr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 xml:space="preserve">确定本项目年径流总量控制目标为： 75% ，要满足设计调蓄容积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420</w:t>
      </w:r>
      <w:r>
        <w:rPr>
          <w:rFonts w:hint="eastAsia" w:ascii="宋体" w:hAnsi="宋体" w:eastAsia="宋体"/>
          <w:sz w:val="32"/>
          <w:szCs w:val="32"/>
        </w:rPr>
        <w:t xml:space="preserve"> ㎡ 以上</w:t>
      </w:r>
    </w:p>
    <w:p w14:paraId="505CC181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 xml:space="preserve">通过设计增加低影响开发设施，实际总调蓄容积为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420</w:t>
      </w:r>
      <w:r>
        <w:rPr>
          <w:rFonts w:hint="eastAsia" w:ascii="宋体" w:hAnsi="宋体" w:eastAsia="宋体"/>
          <w:sz w:val="32"/>
          <w:szCs w:val="32"/>
        </w:rPr>
        <w:t xml:space="preserve"> ㎡ ，满足控制指标要求。</w:t>
      </w:r>
    </w:p>
    <w:p w14:paraId="24F78D32">
      <w:pPr>
        <w:jc w:val="left"/>
        <w:rPr>
          <w:rFonts w:ascii="宋体" w:hAnsi="宋体" w:eastAsia="宋体"/>
          <w:sz w:val="32"/>
          <w:szCs w:val="32"/>
        </w:rPr>
      </w:pPr>
    </w:p>
    <w:p w14:paraId="0AA9E3C2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总结</w:t>
      </w:r>
    </w:p>
    <w:p w14:paraId="1984A2F6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故场地年径流量控制率大于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的要求。</w:t>
      </w:r>
    </w:p>
    <w:p w14:paraId="2AC72920">
      <w:pPr>
        <w:jc w:val="left"/>
        <w:rPr>
          <w:rFonts w:ascii="宋体" w:hAnsi="宋体" w:eastAsia="宋体"/>
          <w:sz w:val="32"/>
          <w:szCs w:val="32"/>
        </w:rPr>
      </w:pPr>
    </w:p>
    <w:p w14:paraId="0A2CD85F">
      <w:pPr>
        <w:jc w:val="left"/>
        <w:rPr>
          <w:rFonts w:ascii="宋体" w:hAnsi="宋体" w:eastAsia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ZmFjMGFiM2ZiMDU1ODBlZDBlZjc0MGExZDkyZmUwYTMifQ=="/>
  </w:docVars>
  <w:rsids>
    <w:rsidRoot w:val="00AF6554"/>
    <w:rsid w:val="00033A21"/>
    <w:rsid w:val="00061986"/>
    <w:rsid w:val="00075D9D"/>
    <w:rsid w:val="000A72A1"/>
    <w:rsid w:val="000F38B1"/>
    <w:rsid w:val="00133F19"/>
    <w:rsid w:val="0015788E"/>
    <w:rsid w:val="001D3E85"/>
    <w:rsid w:val="002221FD"/>
    <w:rsid w:val="00267D4A"/>
    <w:rsid w:val="00270C68"/>
    <w:rsid w:val="00296F3C"/>
    <w:rsid w:val="00300B25"/>
    <w:rsid w:val="00353437"/>
    <w:rsid w:val="003664EE"/>
    <w:rsid w:val="003819F1"/>
    <w:rsid w:val="0038580D"/>
    <w:rsid w:val="00395942"/>
    <w:rsid w:val="004416EE"/>
    <w:rsid w:val="00465110"/>
    <w:rsid w:val="004B38E8"/>
    <w:rsid w:val="004C1949"/>
    <w:rsid w:val="00553E0A"/>
    <w:rsid w:val="00596BB9"/>
    <w:rsid w:val="005D326B"/>
    <w:rsid w:val="005D6D5F"/>
    <w:rsid w:val="005E2D8E"/>
    <w:rsid w:val="00603965"/>
    <w:rsid w:val="00614976"/>
    <w:rsid w:val="00660752"/>
    <w:rsid w:val="00676C44"/>
    <w:rsid w:val="006873CE"/>
    <w:rsid w:val="006D2892"/>
    <w:rsid w:val="00706856"/>
    <w:rsid w:val="00762A36"/>
    <w:rsid w:val="00781788"/>
    <w:rsid w:val="007B3BD9"/>
    <w:rsid w:val="00820AE6"/>
    <w:rsid w:val="008326D4"/>
    <w:rsid w:val="008C0CD4"/>
    <w:rsid w:val="00937A86"/>
    <w:rsid w:val="00977245"/>
    <w:rsid w:val="009F51FC"/>
    <w:rsid w:val="00A0368D"/>
    <w:rsid w:val="00A65843"/>
    <w:rsid w:val="00AF6554"/>
    <w:rsid w:val="00B901E0"/>
    <w:rsid w:val="00B9324C"/>
    <w:rsid w:val="00BA1D8F"/>
    <w:rsid w:val="00D17977"/>
    <w:rsid w:val="00D64E98"/>
    <w:rsid w:val="00D73A5D"/>
    <w:rsid w:val="00D9152E"/>
    <w:rsid w:val="00DB08BC"/>
    <w:rsid w:val="00DC2C25"/>
    <w:rsid w:val="00DC4828"/>
    <w:rsid w:val="00E67977"/>
    <w:rsid w:val="00E96682"/>
    <w:rsid w:val="00EC1FD9"/>
    <w:rsid w:val="00EF7ED5"/>
    <w:rsid w:val="00F30EAF"/>
    <w:rsid w:val="00F54FF1"/>
    <w:rsid w:val="00F677C3"/>
    <w:rsid w:val="00FE0FA7"/>
    <w:rsid w:val="00FF0DC0"/>
    <w:rsid w:val="06846D7A"/>
    <w:rsid w:val="085B3B1D"/>
    <w:rsid w:val="0D3E301C"/>
    <w:rsid w:val="15B11221"/>
    <w:rsid w:val="19243790"/>
    <w:rsid w:val="19F03294"/>
    <w:rsid w:val="1AA5619E"/>
    <w:rsid w:val="1DB9575A"/>
    <w:rsid w:val="21BA49F9"/>
    <w:rsid w:val="21FA7AAB"/>
    <w:rsid w:val="220D3C83"/>
    <w:rsid w:val="256503D5"/>
    <w:rsid w:val="28AA3FD9"/>
    <w:rsid w:val="2ABC60DD"/>
    <w:rsid w:val="2E2652C2"/>
    <w:rsid w:val="3154222C"/>
    <w:rsid w:val="349E42F6"/>
    <w:rsid w:val="357A353D"/>
    <w:rsid w:val="37343573"/>
    <w:rsid w:val="38875E35"/>
    <w:rsid w:val="3C1C19A6"/>
    <w:rsid w:val="3E092AB7"/>
    <w:rsid w:val="3F556752"/>
    <w:rsid w:val="4235270E"/>
    <w:rsid w:val="4AE758C3"/>
    <w:rsid w:val="4DAB7D28"/>
    <w:rsid w:val="4E2116E9"/>
    <w:rsid w:val="506F328F"/>
    <w:rsid w:val="52CB1C69"/>
    <w:rsid w:val="59284923"/>
    <w:rsid w:val="5CF14F3F"/>
    <w:rsid w:val="5F8C4567"/>
    <w:rsid w:val="60D158A0"/>
    <w:rsid w:val="6118527D"/>
    <w:rsid w:val="61FA1B3D"/>
    <w:rsid w:val="634979C8"/>
    <w:rsid w:val="683D4822"/>
    <w:rsid w:val="684418A9"/>
    <w:rsid w:val="6A6E6685"/>
    <w:rsid w:val="71670CF0"/>
    <w:rsid w:val="73C650E2"/>
    <w:rsid w:val="753E17C8"/>
    <w:rsid w:val="7A8B68DD"/>
    <w:rsid w:val="7B2D6100"/>
    <w:rsid w:val="7ED92098"/>
    <w:rsid w:val="7F996E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w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738</Words>
  <Characters>918</Characters>
  <Lines>13</Lines>
  <Paragraphs>3</Paragraphs>
  <TotalTime>5</TotalTime>
  <ScaleCrop>false</ScaleCrop>
  <LinksUpToDate>false</LinksUpToDate>
  <CharactersWithSpaces>944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2017-12-19T10:43:00Z</dcterms:created>
  <dc:creator>pc</dc:creator>
  <cp:lastModifiedBy>要咩有咩~</cp:lastModifiedBy>
  <dcterms:modified xsi:type="dcterms:W3CDTF">2025-07-31T07:35:02Z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7FE77051ED2D499EA840DCC10949BB53_12</vt:lpwstr>
  </property>
  <property fmtid="{D5CDD505-2E9C-101B-9397-08002B2CF9AE}" pid="4" name="KSOTemplateDocerSaveRecord">
    <vt:lpwstr>eyJoZGlkIjoiYjA5MzcyZDE2ZDYzZjJhNzYzOTExMTIzZjlmYzVhOGEiLCJ1c2VySWQiOiIyNzkxOTMyNDcifQ==</vt:lpwstr>
  </property>
</Properties>
</file>