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r>
        <w:t>济南新旧动能转换起步区褚家村、崔寨村等城中村改造项目F-3地块</w:t>
      </w:r>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238250" cy="1238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4E1FC17A">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3" w:name="工程地点"/>
            <w:bookmarkEnd w:id="3"/>
            <w:bookmarkStart w:id="4" w:name="项目地点"/>
            <w:r>
              <w:t>济南</w:t>
            </w:r>
            <w:bookmarkEnd w:id="4"/>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5" w:name="建设单位"/>
            <w:r>
              <w:t>济南先投新启建设开发有限公司</w:t>
            </w:r>
            <w:bookmarkEnd w:id="5"/>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lang w:val="en-US" w:eastAsia="zh-CN"/>
              </w:rPr>
              <w:t>咨询</w:t>
            </w:r>
            <w:r>
              <w:rPr>
                <w:rFonts w:hint="eastAsia"/>
              </w:rPr>
              <w:t>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rPr>
                <w:rFonts w:hint="default" w:eastAsia="微软雅黑"/>
                <w:lang w:val="en-US" w:eastAsia="zh-CN"/>
              </w:rPr>
            </w:pPr>
            <w:r>
              <w:rPr>
                <w:rFonts w:hint="eastAsia"/>
                <w:lang w:val="en-US" w:eastAsia="zh-CN"/>
              </w:rPr>
              <w:t>山东省建筑设计研究院有限公司</w:t>
            </w:r>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lang w:val="en-US" w:eastAsia="zh-CN"/>
              </w:rPr>
              <w:t>编制</w:t>
            </w:r>
            <w:r>
              <w:rPr>
                <w:rFonts w:hint="eastAsia"/>
              </w:rPr>
              <w:t>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6" w:name="报告日期"/>
            <w:r>
              <w:t>2025年07月16日</w:t>
            </w:r>
            <w:bookmarkEnd w:id="6"/>
          </w:p>
        </w:tc>
      </w:tr>
    </w:tbl>
    <w:p w14:paraId="7D15256F">
      <w:pPr>
        <w:pStyle w:val="50"/>
      </w:pPr>
      <w:bookmarkStart w:id="89" w:name="_GoBack"/>
      <w:bookmarkEnd w:id="89"/>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7" w:name="采用软件"/>
            <w:r>
              <w:rPr>
                <w:rFonts w:hint="eastAsia"/>
                <w:szCs w:val="18"/>
              </w:rPr>
              <w:t>建筑通风Vent2025</w:t>
            </w:r>
            <w:bookmarkEnd w:id="7"/>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8" w:name="软件版本"/>
            <w:r>
              <w:rPr>
                <w:rFonts w:hint="eastAsia"/>
              </w:rPr>
              <w:t>20250301(SP1)</w:t>
            </w:r>
            <w:bookmarkEnd w:id="8"/>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9" w:name="加密锁号"/>
            <w:r>
              <w:rPr>
                <w:rFonts w:hint="eastAsia"/>
                <w:szCs w:val="18"/>
              </w:rPr>
              <w:t>T18765959195</w:t>
            </w:r>
            <w:bookmarkEnd w:id="9"/>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01BAA6E8">
      <w:pPr>
        <w:pStyle w:val="20"/>
        <w:tabs>
          <w:tab w:val="right" w:leader="dot" w:pos="8306"/>
          <w:tab w:val="clear" w:pos="180"/>
          <w:tab w:val="clear" w:pos="420"/>
          <w:tab w:val="clear" w:pos="8222"/>
          <w:tab w:val="clear" w:pos="8296"/>
        </w:tabs>
      </w:pPr>
      <w:bookmarkStart w:id="10"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_Toc12705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_Toc12705 \h </w:instrText>
      </w:r>
      <w:r>
        <w:fldChar w:fldCharType="separate"/>
      </w:r>
      <w:r>
        <w:t>4</w:t>
      </w:r>
      <w:r>
        <w:fldChar w:fldCharType="end"/>
      </w:r>
      <w:r>
        <w:rPr>
          <w:caps/>
        </w:rPr>
        <w:fldChar w:fldCharType="end"/>
      </w:r>
    </w:p>
    <w:p w14:paraId="235D4234">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_Toc10707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_Toc10707 \h </w:instrText>
      </w:r>
      <w:r>
        <w:fldChar w:fldCharType="separate"/>
      </w:r>
      <w:r>
        <w:t>4</w:t>
      </w:r>
      <w:r>
        <w:fldChar w:fldCharType="end"/>
      </w:r>
      <w:r>
        <w:rPr>
          <w:caps/>
        </w:rPr>
        <w:fldChar w:fldCharType="end"/>
      </w:r>
    </w:p>
    <w:p w14:paraId="7C59F00A">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_Toc11614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_Toc11614 \h </w:instrText>
      </w:r>
      <w:r>
        <w:fldChar w:fldCharType="separate"/>
      </w:r>
      <w:r>
        <w:t>12</w:t>
      </w:r>
      <w:r>
        <w:fldChar w:fldCharType="end"/>
      </w:r>
      <w:r>
        <w:rPr>
          <w:caps/>
        </w:rPr>
        <w:fldChar w:fldCharType="end"/>
      </w:r>
    </w:p>
    <w:p w14:paraId="6DB495AF">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_Toc26828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_Toc26828 \h </w:instrText>
      </w:r>
      <w:r>
        <w:fldChar w:fldCharType="separate"/>
      </w:r>
      <w:r>
        <w:t>12</w:t>
      </w:r>
      <w:r>
        <w:fldChar w:fldCharType="end"/>
      </w:r>
      <w:r>
        <w:rPr>
          <w:caps/>
        </w:rPr>
        <w:fldChar w:fldCharType="end"/>
      </w:r>
    </w:p>
    <w:p w14:paraId="36AB8B69">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_Toc1281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_Toc1281 \h </w:instrText>
      </w:r>
      <w:r>
        <w:fldChar w:fldCharType="separate"/>
      </w:r>
      <w:r>
        <w:t>13</w:t>
      </w:r>
      <w:r>
        <w:fldChar w:fldCharType="end"/>
      </w:r>
      <w:r>
        <w:rPr>
          <w:caps/>
        </w:rPr>
        <w:fldChar w:fldCharType="end"/>
      </w:r>
    </w:p>
    <w:p w14:paraId="5ECB178E">
      <w:pPr>
        <w:pStyle w:val="20"/>
        <w:tabs>
          <w:tab w:val="right" w:leader="dot" w:pos="8306"/>
          <w:tab w:val="clear" w:pos="180"/>
          <w:tab w:val="clear" w:pos="420"/>
          <w:tab w:val="clear" w:pos="8222"/>
          <w:tab w:val="clear" w:pos="8296"/>
        </w:tabs>
      </w:pPr>
      <w:r>
        <w:rPr>
          <w:caps/>
        </w:rPr>
        <w:fldChar w:fldCharType="begin"/>
      </w:r>
      <w:r>
        <w:rPr>
          <w:caps/>
        </w:rPr>
        <w:instrText xml:space="preserve"> HYPERLINK \l _Toc8916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_Toc8916 \h </w:instrText>
      </w:r>
      <w:r>
        <w:fldChar w:fldCharType="separate"/>
      </w:r>
      <w:r>
        <w:t>13</w:t>
      </w:r>
      <w:r>
        <w:fldChar w:fldCharType="end"/>
      </w:r>
      <w:r>
        <w:rPr>
          <w:caps/>
        </w:rPr>
        <w:fldChar w:fldCharType="end"/>
      </w:r>
    </w:p>
    <w:p w14:paraId="22B2C434">
      <w:pPr>
        <w:pStyle w:val="20"/>
        <w:tabs>
          <w:tab w:val="right" w:leader="dot" w:pos="8306"/>
          <w:tab w:val="clear" w:pos="180"/>
          <w:tab w:val="clear" w:pos="420"/>
          <w:tab w:val="clear" w:pos="8222"/>
          <w:tab w:val="clear" w:pos="8296"/>
        </w:tabs>
      </w:pPr>
      <w:r>
        <w:rPr>
          <w:caps/>
        </w:rPr>
        <w:fldChar w:fldCharType="begin"/>
      </w:r>
      <w:r>
        <w:rPr>
          <w:caps/>
        </w:rPr>
        <w:instrText xml:space="preserve"> HYPERLINK \l _Toc6192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_Toc6192 \h </w:instrText>
      </w:r>
      <w:r>
        <w:fldChar w:fldCharType="separate"/>
      </w:r>
      <w:r>
        <w:t>14</w:t>
      </w:r>
      <w:r>
        <w:fldChar w:fldCharType="end"/>
      </w:r>
      <w:r>
        <w:rPr>
          <w:caps/>
        </w:rPr>
        <w:fldChar w:fldCharType="end"/>
      </w:r>
    </w:p>
    <w:p w14:paraId="5877DCCF">
      <w:pPr>
        <w:pStyle w:val="21"/>
        <w:tabs>
          <w:tab w:val="right" w:leader="dot" w:pos="8306"/>
          <w:tab w:val="clear" w:pos="540"/>
          <w:tab w:val="clear" w:pos="840"/>
          <w:tab w:val="clear" w:pos="8222"/>
          <w:tab w:val="clear" w:pos="8296"/>
        </w:tabs>
      </w:pPr>
      <w:r>
        <w:rPr>
          <w:caps/>
        </w:rPr>
        <w:fldChar w:fldCharType="begin"/>
      </w:r>
      <w:r>
        <w:rPr>
          <w:caps/>
        </w:rPr>
        <w:instrText xml:space="preserve"> HYPERLINK \l _Toc6416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_Toc6416 \h </w:instrText>
      </w:r>
      <w:r>
        <w:fldChar w:fldCharType="separate"/>
      </w:r>
      <w:r>
        <w:t>14</w:t>
      </w:r>
      <w:r>
        <w:fldChar w:fldCharType="end"/>
      </w:r>
      <w:r>
        <w:rPr>
          <w:caps/>
        </w:rPr>
        <w:fldChar w:fldCharType="end"/>
      </w:r>
    </w:p>
    <w:p w14:paraId="7D153E47">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_Toc19273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_Toc19273 \h </w:instrText>
      </w:r>
      <w:r>
        <w:fldChar w:fldCharType="separate"/>
      </w:r>
      <w:r>
        <w:t>17</w:t>
      </w:r>
      <w:r>
        <w:fldChar w:fldCharType="end"/>
      </w:r>
      <w:r>
        <w:rPr>
          <w:caps/>
        </w:rPr>
        <w:fldChar w:fldCharType="end"/>
      </w:r>
    </w:p>
    <w:p w14:paraId="3749E5D7">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_Toc20225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_Toc20225 \h </w:instrText>
      </w:r>
      <w:r>
        <w:fldChar w:fldCharType="separate"/>
      </w:r>
      <w:r>
        <w:t>17</w:t>
      </w:r>
      <w:r>
        <w:fldChar w:fldCharType="end"/>
      </w:r>
      <w:r>
        <w:rPr>
          <w:caps/>
        </w:rPr>
        <w:fldChar w:fldCharType="end"/>
      </w:r>
    </w:p>
    <w:p w14:paraId="3EDA8333">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_Toc2527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_Toc2527 \h </w:instrText>
      </w:r>
      <w:r>
        <w:fldChar w:fldCharType="separate"/>
      </w:r>
      <w:r>
        <w:t>24</w:t>
      </w:r>
      <w:r>
        <w:fldChar w:fldCharType="end"/>
      </w:r>
      <w:r>
        <w:rPr>
          <w:caps/>
        </w:rPr>
        <w:fldChar w:fldCharType="end"/>
      </w:r>
    </w:p>
    <w:p w14:paraId="0AFA075B">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_Toc1956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_Toc1956 \h </w:instrText>
      </w:r>
      <w:r>
        <w:fldChar w:fldCharType="separate"/>
      </w:r>
      <w:r>
        <w:t>31</w:t>
      </w:r>
      <w:r>
        <w:fldChar w:fldCharType="end"/>
      </w:r>
      <w:r>
        <w:rPr>
          <w:caps/>
        </w:rPr>
        <w:fldChar w:fldCharType="end"/>
      </w:r>
    </w:p>
    <w:p w14:paraId="767F5CE8">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_Toc16870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_Toc16870 \h </w:instrText>
      </w:r>
      <w:r>
        <w:fldChar w:fldCharType="separate"/>
      </w:r>
      <w:r>
        <w:t>38</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0"/>
    </w:p>
    <w:p w14:paraId="6523AB83">
      <w:pPr>
        <w:pStyle w:val="2"/>
      </w:pPr>
      <w:bookmarkStart w:id="11" w:name="_Toc12705"/>
      <w:bookmarkStart w:id="12" w:name="_Toc452108759"/>
      <w:bookmarkStart w:id="13" w:name="_Toc50050011"/>
      <w:bookmarkStart w:id="14" w:name="_Toc58243666"/>
      <w:bookmarkStart w:id="15" w:name="_Toc13735908"/>
      <w:bookmarkStart w:id="16" w:name="_Toc452108762"/>
      <w:bookmarkStart w:id="17" w:name="TitleFormat"/>
      <w:r>
        <w:rPr>
          <w:rFonts w:hint="eastAsia"/>
        </w:rPr>
        <w:t>项目概况</w:t>
      </w:r>
      <w:bookmarkEnd w:id="11"/>
      <w:bookmarkEnd w:id="12"/>
      <w:bookmarkEnd w:id="13"/>
      <w:bookmarkEnd w:id="14"/>
      <w:bookmarkEnd w:id="15"/>
    </w:p>
    <w:p w14:paraId="144035AA">
      <w:pPr>
        <w:pStyle w:val="3"/>
        <w:ind w:firstLine="420"/>
        <w:rPr>
          <w:rFonts w:ascii="微软雅黑" w:hAnsi="微软雅黑" w:eastAsia="微软雅黑"/>
          <w:lang w:val="en-US"/>
        </w:rPr>
      </w:pPr>
      <w:bookmarkStart w:id="18" w:name="项目概况"/>
      <w:bookmarkEnd w:id="18"/>
    </w:p>
    <w:p w14:paraId="071B4ADF">
      <w:pPr>
        <w:pStyle w:val="3"/>
        <w:ind w:firstLine="420"/>
        <w:rPr>
          <w:rFonts w:ascii="微软雅黑" w:hAnsi="微软雅黑" w:eastAsia="微软雅黑"/>
          <w:lang w:val="en-US"/>
        </w:rPr>
      </w:pPr>
    </w:p>
    <w:p w14:paraId="5817DFFD">
      <w:pPr>
        <w:pStyle w:val="4"/>
        <w:rPr>
          <w:color w:val="auto"/>
        </w:rPr>
      </w:pPr>
      <w:bookmarkStart w:id="19" w:name="_Toc58243667"/>
      <w:bookmarkStart w:id="20" w:name="_Toc50050012"/>
      <w:bookmarkStart w:id="21" w:name="_Toc452108760"/>
      <w:bookmarkStart w:id="22" w:name="_Toc13735909"/>
      <w:bookmarkStart w:id="23" w:name="_Toc10707"/>
      <w:bookmarkStart w:id="24" w:name="平面图2"/>
      <w:r>
        <w:rPr>
          <w:color w:val="auto"/>
        </w:rPr>
        <w:t>平面图</w:t>
      </w:r>
      <w:bookmarkEnd w:id="19"/>
      <w:bookmarkEnd w:id="20"/>
      <w:bookmarkEnd w:id="21"/>
      <w:bookmarkEnd w:id="22"/>
      <w:bookmarkEnd w:id="23"/>
    </w:p>
    <w:p w14:paraId="26DE582F">
      <w:pPr>
        <w:pStyle w:val="3"/>
        <w:ind w:firstLine="0" w:firstLineChars="0"/>
        <w:jc w:val="center"/>
        <w:rPr>
          <w:rFonts w:ascii="微软雅黑" w:hAnsi="微软雅黑" w:eastAsia="微软雅黑"/>
          <w:lang w:val="en-US"/>
        </w:rPr>
      </w:pPr>
      <w:bookmarkStart w:id="25" w:name="平面图"/>
      <w:bookmarkEnd w:id="25"/>
      <w:r>
        <w:drawing>
          <wp:inline distT="0" distB="0" distL="0" distR="0">
            <wp:extent cx="5667375" cy="29241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2924175"/>
                    </a:xfrm>
                    <a:prstGeom prst="rect">
                      <a:avLst/>
                    </a:prstGeom>
                  </pic:spPr>
                </pic:pic>
              </a:graphicData>
            </a:graphic>
          </wp:inline>
        </w:drawing>
      </w:r>
    </w:p>
    <w:p w14:paraId="7D72902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7A8EB99">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2962275"/>
                    </a:xfrm>
                    <a:prstGeom prst="rect">
                      <a:avLst/>
                    </a:prstGeom>
                  </pic:spPr>
                </pic:pic>
              </a:graphicData>
            </a:graphic>
          </wp:inline>
        </w:drawing>
      </w:r>
    </w:p>
    <w:p w14:paraId="576CADA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5998387">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2D499153">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622F727">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3604BE76">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548C49B">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430151A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9629DF6">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03774C8D">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282D07CA">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29520B5B">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2CA56F1B">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40F2F7F2">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07D1B027">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7EB4C748">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47D282F0">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1EBCE195">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3AFD375E">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7CA593A2">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7C92C705">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5DCE3826">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14CE12F4">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0E34EB81">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00778DAF">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320DD13E">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6CB9478F">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156C6739">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24836B9A">
      <w:pPr>
        <w:pStyle w:val="3"/>
        <w:ind w:firstLine="0" w:firstLineChars="0"/>
        <w:jc w:val="center"/>
        <w:rPr>
          <w:rFonts w:ascii="微软雅黑" w:hAnsi="微软雅黑" w:eastAsia="微软雅黑"/>
          <w:lang w:val="en-US"/>
        </w:rPr>
      </w:pPr>
      <w:r>
        <w:drawing>
          <wp:inline distT="0" distB="0" distL="0" distR="0">
            <wp:extent cx="5667375" cy="29622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a:stretch>
                      <a:fillRect/>
                    </a:stretch>
                  </pic:blipFill>
                  <pic:spPr>
                    <a:xfrm>
                      <a:off x="0" y="0"/>
                      <a:ext cx="5667375" cy="2962275"/>
                    </a:xfrm>
                    <a:prstGeom prst="rect">
                      <a:avLst/>
                    </a:prstGeom>
                  </pic:spPr>
                </pic:pic>
              </a:graphicData>
            </a:graphic>
          </wp:inline>
        </w:drawing>
      </w:r>
    </w:p>
    <w:p w14:paraId="131404E1">
      <w:pPr>
        <w:pStyle w:val="3"/>
        <w:ind w:firstLine="0" w:firstLineChars="0"/>
        <w:jc w:val="center"/>
        <w:rPr>
          <w:rFonts w:ascii="微软雅黑" w:hAnsi="微软雅黑" w:eastAsia="微软雅黑"/>
          <w:lang w:val="en-US"/>
        </w:rPr>
      </w:pPr>
      <w:r>
        <w:rPr>
          <w:rFonts w:ascii="微软雅黑" w:hAnsi="微软雅黑" w:eastAsia="微软雅黑"/>
          <w:lang w:val="en-US"/>
        </w:rPr>
        <w:t>15层平面</w:t>
      </w:r>
    </w:p>
    <w:p w14:paraId="696FBE92">
      <w:pPr>
        <w:pStyle w:val="3"/>
        <w:ind w:firstLine="0" w:firstLineChars="0"/>
        <w:jc w:val="center"/>
        <w:rPr>
          <w:rFonts w:ascii="微软雅黑" w:hAnsi="微软雅黑" w:eastAsia="微软雅黑"/>
          <w:lang w:val="en-US"/>
        </w:rPr>
      </w:pPr>
      <w:r>
        <w:drawing>
          <wp:inline distT="0" distB="0" distL="0" distR="0">
            <wp:extent cx="5667375" cy="39814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3"/>
                    <a:stretch>
                      <a:fillRect/>
                    </a:stretch>
                  </pic:blipFill>
                  <pic:spPr>
                    <a:xfrm>
                      <a:off x="0" y="0"/>
                      <a:ext cx="5667375" cy="3981450"/>
                    </a:xfrm>
                    <a:prstGeom prst="rect">
                      <a:avLst/>
                    </a:prstGeom>
                  </pic:spPr>
                </pic:pic>
              </a:graphicData>
            </a:graphic>
          </wp:inline>
        </w:drawing>
      </w:r>
    </w:p>
    <w:p w14:paraId="62BC67D9">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51954A24">
      <w:pPr>
        <w:pStyle w:val="3"/>
        <w:ind w:firstLine="0" w:firstLineChars="0"/>
        <w:jc w:val="center"/>
        <w:rPr>
          <w:rFonts w:ascii="微软雅黑" w:hAnsi="微软雅黑" w:eastAsia="微软雅黑"/>
          <w:lang w:val="en-US"/>
        </w:rPr>
      </w:pPr>
    </w:p>
    <w:bookmarkEnd w:id="24"/>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6" w:name="_Toc452108761"/>
      <w:bookmarkStart w:id="27" w:name="_Toc13735910"/>
      <w:bookmarkStart w:id="28" w:name="_Toc58243668"/>
      <w:bookmarkStart w:id="29" w:name="_Toc50050013"/>
      <w:bookmarkStart w:id="30" w:name="_Toc11614"/>
      <w:r>
        <w:rPr>
          <w:rFonts w:hint="eastAsia"/>
          <w:color w:val="auto"/>
        </w:rPr>
        <w:t>三</w:t>
      </w:r>
      <w:r>
        <w:rPr>
          <w:color w:val="auto"/>
        </w:rPr>
        <w:t>维视图</w:t>
      </w:r>
      <w:bookmarkEnd w:id="26"/>
      <w:bookmarkEnd w:id="27"/>
      <w:bookmarkEnd w:id="28"/>
      <w:bookmarkEnd w:id="29"/>
      <w:bookmarkEnd w:id="30"/>
    </w:p>
    <w:p w14:paraId="20C7A26F">
      <w:pPr>
        <w:pStyle w:val="3"/>
        <w:ind w:firstLine="0" w:firstLineChars="0"/>
        <w:jc w:val="center"/>
        <w:rPr>
          <w:rFonts w:ascii="微软雅黑" w:hAnsi="微软雅黑" w:eastAsia="微软雅黑"/>
          <w:lang w:val="en-US"/>
        </w:rPr>
      </w:pPr>
      <w:bookmarkStart w:id="31" w:name="三维视图"/>
      <w:bookmarkEnd w:id="31"/>
      <w:bookmarkStart w:id="32" w:name="模型观察"/>
      <w:r>
        <w:t>请先在【模型观察】命令中保存图片</w:t>
      </w:r>
      <w:bookmarkEnd w:id="32"/>
    </w:p>
    <w:p w14:paraId="03512D7F">
      <w:pPr>
        <w:pStyle w:val="3"/>
        <w:ind w:firstLine="0" w:firstLineChars="0"/>
        <w:rPr>
          <w:rFonts w:ascii="微软雅黑" w:hAnsi="微软雅黑" w:eastAsia="微软雅黑"/>
          <w:lang w:val="en-US"/>
        </w:rPr>
      </w:pPr>
    </w:p>
    <w:p w14:paraId="6E400BEE">
      <w:pPr>
        <w:pStyle w:val="2"/>
      </w:pPr>
      <w:bookmarkStart w:id="33" w:name="_Toc50050014"/>
      <w:bookmarkStart w:id="34" w:name="_Toc58243669"/>
      <w:bookmarkStart w:id="35" w:name="_Toc26828"/>
      <w:r>
        <w:rPr>
          <w:rFonts w:hint="eastAsia"/>
        </w:rPr>
        <w:t>计算</w:t>
      </w:r>
      <w:r>
        <w:t>依据</w:t>
      </w:r>
      <w:bookmarkEnd w:id="16"/>
      <w:bookmarkEnd w:id="17"/>
      <w:bookmarkEnd w:id="33"/>
      <w:bookmarkEnd w:id="34"/>
      <w:bookmarkEnd w:id="35"/>
    </w:p>
    <w:p w14:paraId="5A6EAFC5">
      <w:pPr>
        <w:pStyle w:val="3"/>
        <w:ind w:firstLine="199" w:firstLineChars="95"/>
        <w:rPr>
          <w:rFonts w:ascii="微软雅黑" w:hAnsi="微软雅黑" w:eastAsia="微软雅黑"/>
          <w:lang w:val="en-US"/>
        </w:rPr>
      </w:pPr>
      <w:bookmarkStart w:id="36"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7" w:name="参考标准名称1"/>
      <w:r>
        <w:rPr>
          <w:rFonts w:hint="eastAsia" w:ascii="微软雅黑" w:hAnsi="微软雅黑" w:eastAsia="微软雅黑"/>
          <w:lang w:val="en-US"/>
        </w:rPr>
        <w:t>山东省《绿色建筑评价标准》DB37/T 5097-2021</w:t>
      </w:r>
      <w:bookmarkEnd w:id="37"/>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8" w:name="_Toc58243670"/>
      <w:bookmarkStart w:id="39" w:name="_Toc50050015"/>
      <w:bookmarkStart w:id="40" w:name="_Toc1281"/>
      <w:r>
        <w:rPr>
          <w:rFonts w:hint="eastAsia"/>
        </w:rPr>
        <w:t>参考</w:t>
      </w:r>
      <w:r>
        <w:t>标准</w:t>
      </w:r>
      <w:bookmarkEnd w:id="36"/>
      <w:bookmarkEnd w:id="38"/>
      <w:bookmarkEnd w:id="39"/>
      <w:bookmarkEnd w:id="40"/>
    </w:p>
    <w:p w14:paraId="283E1BED">
      <w:pPr>
        <w:pStyle w:val="3"/>
        <w:ind w:firstLine="420"/>
        <w:rPr>
          <w:rFonts w:ascii="微软雅黑" w:hAnsi="微软雅黑" w:eastAsia="微软雅黑"/>
          <w:lang w:val="en-US"/>
        </w:rPr>
      </w:pPr>
      <w:bookmarkStart w:id="41" w:name="_Toc452108764"/>
      <w:bookmarkStart w:id="42" w:name="_Toc451698935"/>
      <w:bookmarkStart w:id="43" w:name="_Toc451436145"/>
      <w:r>
        <w:rPr>
          <w:rFonts w:hint="eastAsia" w:ascii="微软雅黑" w:hAnsi="微软雅黑" w:eastAsia="微软雅黑"/>
          <w:lang w:val="en-US"/>
        </w:rPr>
        <w:t>室内气流组织评价的主要依据为</w:t>
      </w:r>
      <w:bookmarkStart w:id="44" w:name="参考标准名称2"/>
      <w:r>
        <w:rPr>
          <w:rFonts w:hint="eastAsia" w:ascii="微软雅黑" w:hAnsi="微软雅黑" w:eastAsia="微软雅黑"/>
          <w:lang w:val="en-US"/>
        </w:rPr>
        <w:t>山东省《绿色建筑评价标准》DB37/T 5097-2021</w:t>
      </w:r>
      <w:bookmarkEnd w:id="44"/>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5" w:name="_Toc8916"/>
      <w:bookmarkStart w:id="46" w:name="_Toc58243671"/>
      <w:bookmarkStart w:id="47" w:name="_Toc50050016"/>
      <w:r>
        <w:rPr>
          <w:rFonts w:hint="eastAsia"/>
        </w:rPr>
        <w:t>技术措施</w:t>
      </w:r>
      <w:bookmarkEnd w:id="45"/>
      <w:bookmarkEnd w:id="46"/>
      <w:bookmarkEnd w:id="47"/>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01A1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E7647A">
            <w:pPr>
              <w:jc w:val="center"/>
            </w:pPr>
            <w:r>
              <w:t>房间类型</w:t>
            </w:r>
          </w:p>
        </w:tc>
        <w:tc>
          <w:tcPr>
            <w:shd w:val="clear" w:color="auto" w:fill="E6E6E6"/>
            <w:vAlign w:val="center"/>
          </w:tcPr>
          <w:p w14:paraId="518CCD37">
            <w:pPr>
              <w:jc w:val="center"/>
            </w:pPr>
            <w:r>
              <w:t>措施</w:t>
            </w:r>
          </w:p>
        </w:tc>
      </w:tr>
      <w:tr w14:paraId="4531C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724188">
            <w:r>
              <w:t>厨房</w:t>
            </w:r>
          </w:p>
        </w:tc>
        <w:tc>
          <w:tcPr>
            <w:vAlign w:val="center"/>
          </w:tcPr>
          <w:p w14:paraId="2081155C">
            <w:r>
              <w:t>置于自然通风负压侧</w:t>
            </w:r>
          </w:p>
        </w:tc>
      </w:tr>
      <w:tr w14:paraId="5A1C9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DC16C"/>
        </w:tc>
        <w:tc>
          <w:tcPr>
            <w:vAlign w:val="center"/>
          </w:tcPr>
          <w:p w14:paraId="35A63483">
            <w:r>
              <w:t>设置可关闭的门</w:t>
            </w:r>
          </w:p>
        </w:tc>
      </w:tr>
      <w:tr w14:paraId="14FAB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B586B"/>
        </w:tc>
        <w:tc>
          <w:tcPr>
            <w:vAlign w:val="center"/>
          </w:tcPr>
          <w:p w14:paraId="0B1F5A71">
            <w:r>
              <w:t>安装抽油烟机</w:t>
            </w:r>
          </w:p>
        </w:tc>
      </w:tr>
      <w:tr w14:paraId="09602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C82CB"/>
        </w:tc>
        <w:tc>
          <w:tcPr>
            <w:vAlign w:val="center"/>
          </w:tcPr>
          <w:p w14:paraId="61C41387">
            <w:r>
              <w:t>设置竖向排风道</w:t>
            </w:r>
          </w:p>
        </w:tc>
      </w:tr>
      <w:tr w14:paraId="1CB32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C16DC"/>
        </w:tc>
        <w:tc>
          <w:tcPr>
            <w:vAlign w:val="center"/>
          </w:tcPr>
          <w:p w14:paraId="13426F02">
            <w:r>
              <w:t>采用双烟道设计</w:t>
            </w:r>
          </w:p>
        </w:tc>
      </w:tr>
      <w:tr w14:paraId="213BA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8523A"/>
        </w:tc>
        <w:tc>
          <w:tcPr>
            <w:vAlign w:val="center"/>
          </w:tcPr>
          <w:p w14:paraId="4527B03B">
            <w:r>
              <w:t>排气道设计有利于排气通畅</w:t>
            </w:r>
          </w:p>
        </w:tc>
      </w:tr>
      <w:tr w14:paraId="0F13F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F09F0"/>
        </w:tc>
        <w:tc>
          <w:tcPr>
            <w:vAlign w:val="center"/>
          </w:tcPr>
          <w:p w14:paraId="49EAB6EC">
            <w:r>
              <w:t>安装止回排气阀、放倒灌风帽</w:t>
            </w:r>
          </w:p>
        </w:tc>
      </w:tr>
      <w:tr w14:paraId="10192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D046D"/>
        </w:tc>
        <w:tc>
          <w:tcPr>
            <w:vAlign w:val="center"/>
          </w:tcPr>
          <w:p w14:paraId="63783D35">
            <w:r>
              <w:t>风口位置合理，进排风无短路/无污染</w:t>
            </w:r>
          </w:p>
        </w:tc>
      </w:tr>
      <w:tr w14:paraId="411B2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5E731"/>
        </w:tc>
        <w:tc>
          <w:tcPr>
            <w:vAlign w:val="center"/>
          </w:tcPr>
          <w:p w14:paraId="6BFE9A42">
            <w:r>
              <w:t>排放位置合理，远离其他空间/室外人员活动区</w:t>
            </w:r>
          </w:p>
        </w:tc>
      </w:tr>
      <w:tr w14:paraId="6BA43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F7F4D2">
            <w:r>
              <w:t>卫生间</w:t>
            </w:r>
          </w:p>
        </w:tc>
        <w:tc>
          <w:tcPr>
            <w:vAlign w:val="center"/>
          </w:tcPr>
          <w:p w14:paraId="0EC75813">
            <w:r>
              <w:t>置于自然通风负压侧</w:t>
            </w:r>
          </w:p>
        </w:tc>
      </w:tr>
      <w:tr w14:paraId="7FD0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46D3D"/>
        </w:tc>
        <w:tc>
          <w:tcPr>
            <w:vAlign w:val="center"/>
          </w:tcPr>
          <w:p w14:paraId="6DABF13D">
            <w:r>
              <w:t>设置可关闭的门</w:t>
            </w:r>
          </w:p>
        </w:tc>
      </w:tr>
      <w:tr w14:paraId="5EF39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BB3FA"/>
        </w:tc>
        <w:tc>
          <w:tcPr>
            <w:vAlign w:val="center"/>
          </w:tcPr>
          <w:p w14:paraId="17821FB0">
            <w:r>
              <w:t>安装排气扇</w:t>
            </w:r>
          </w:p>
        </w:tc>
      </w:tr>
      <w:tr w14:paraId="089DB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D2DE9"/>
        </w:tc>
        <w:tc>
          <w:tcPr>
            <w:vAlign w:val="center"/>
          </w:tcPr>
          <w:p w14:paraId="3879D1EF">
            <w:r>
              <w:t>设置竖向排风道</w:t>
            </w:r>
          </w:p>
        </w:tc>
      </w:tr>
      <w:tr w14:paraId="0CF73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D0555"/>
        </w:tc>
        <w:tc>
          <w:tcPr>
            <w:vAlign w:val="center"/>
          </w:tcPr>
          <w:p w14:paraId="0D35BB4F">
            <w:r>
              <w:t>排气道设计有利于排气通畅</w:t>
            </w:r>
          </w:p>
        </w:tc>
      </w:tr>
      <w:tr w14:paraId="719DB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7D365"/>
        </w:tc>
        <w:tc>
          <w:tcPr>
            <w:vAlign w:val="center"/>
          </w:tcPr>
          <w:p w14:paraId="7144A8AF">
            <w:r>
              <w:t>安装止回排气阀、放倒灌风帽</w:t>
            </w:r>
          </w:p>
        </w:tc>
      </w:tr>
      <w:tr w14:paraId="1A503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DA3D2"/>
        </w:tc>
        <w:tc>
          <w:tcPr>
            <w:vAlign w:val="center"/>
          </w:tcPr>
          <w:p w14:paraId="4873949A">
            <w:r>
              <w:t>风口位置合理，进排风无短路/无污染</w:t>
            </w:r>
          </w:p>
        </w:tc>
      </w:tr>
      <w:tr w14:paraId="0AB77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E3E50"/>
        </w:tc>
        <w:tc>
          <w:tcPr>
            <w:vAlign w:val="center"/>
          </w:tcPr>
          <w:p w14:paraId="4150FBEB">
            <w:r>
              <w:t>排放位置合理，远离其他空间/室外人员活动区</w:t>
            </w:r>
          </w:p>
        </w:tc>
      </w:tr>
      <w:tr w14:paraId="04723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B2051"/>
        </w:tc>
        <w:tc>
          <w:tcPr>
            <w:vAlign w:val="center"/>
          </w:tcPr>
          <w:p w14:paraId="022021B3">
            <w:r>
              <w:t>设置气窗（公共卫生间、浴室）</w:t>
            </w:r>
          </w:p>
        </w:tc>
      </w:tr>
    </w:tbl>
    <w:p w14:paraId="5C786DEA">
      <w:pPr>
        <w:pStyle w:val="3"/>
        <w:ind w:firstLine="420"/>
        <w:rPr>
          <w:rFonts w:ascii="微软雅黑" w:hAnsi="微软雅黑" w:eastAsia="微软雅黑"/>
          <w:lang w:val="en-US"/>
        </w:rPr>
      </w:pPr>
      <w:bookmarkStart w:id="48" w:name="技术措施"/>
      <w:bookmarkEnd w:id="48"/>
    </w:p>
    <w:p w14:paraId="48593A3A">
      <w:pPr>
        <w:pStyle w:val="2"/>
      </w:pPr>
      <w:bookmarkStart w:id="49" w:name="_Toc6192"/>
      <w:bookmarkStart w:id="50" w:name="_Toc50050017"/>
      <w:bookmarkStart w:id="51" w:name="_Toc58243672"/>
      <w:r>
        <w:rPr>
          <w:rFonts w:hint="eastAsia"/>
        </w:rPr>
        <w:t>计算</w:t>
      </w:r>
      <w:bookmarkEnd w:id="41"/>
      <w:bookmarkEnd w:id="42"/>
      <w:r>
        <w:rPr>
          <w:rFonts w:hint="eastAsia"/>
        </w:rPr>
        <w:t>方法</w:t>
      </w:r>
      <w:bookmarkEnd w:id="49"/>
      <w:bookmarkEnd w:id="50"/>
      <w:bookmarkEnd w:id="51"/>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2" w:name="_Toc58243673"/>
      <w:bookmarkStart w:id="53" w:name="_Toc50050018"/>
      <w:bookmarkStart w:id="54" w:name="_Toc6416"/>
      <w:r>
        <w:rPr>
          <w:color w:val="auto"/>
        </w:rPr>
        <w:t>CFD</w:t>
      </w:r>
      <w:r>
        <w:rPr>
          <w:rFonts w:hint="eastAsia"/>
          <w:color w:val="auto"/>
        </w:rPr>
        <w:t>计算原理</w:t>
      </w:r>
      <w:bookmarkEnd w:id="52"/>
      <w:bookmarkEnd w:id="53"/>
      <w:bookmarkEnd w:id="54"/>
    </w:p>
    <w:p w14:paraId="66DB4561">
      <w:pPr>
        <w:pStyle w:val="5"/>
      </w:pPr>
      <w:bookmarkStart w:id="55" w:name="_Toc50050019"/>
      <w:bookmarkStart w:id="56" w:name="_Toc58243674"/>
      <w:bookmarkStart w:id="57" w:name="_Toc451698937"/>
      <w:bookmarkStart w:id="58" w:name="_Toc452108765"/>
      <w:r>
        <w:rPr>
          <w:rFonts w:hint="eastAsia"/>
        </w:rPr>
        <w:t>湍流模型</w:t>
      </w:r>
      <w:bookmarkEnd w:id="55"/>
      <w:bookmarkEnd w:id="56"/>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59" w:name="_Toc58243675"/>
      <w:bookmarkStart w:id="60" w:name="_Toc451698938"/>
      <w:bookmarkStart w:id="61" w:name="_Toc50050020"/>
      <w:bookmarkStart w:id="62" w:name="_Toc8151"/>
      <w:bookmarkStart w:id="63" w:name="_Toc452108766"/>
      <w:r>
        <w:rPr>
          <w:rFonts w:hint="eastAsia"/>
        </w:rPr>
        <w:t>边界条件</w:t>
      </w:r>
      <w:bookmarkEnd w:id="59"/>
      <w:bookmarkEnd w:id="60"/>
      <w:bookmarkEnd w:id="61"/>
      <w:bookmarkEnd w:id="62"/>
      <w:bookmarkEnd w:id="63"/>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4" w:name="_Toc58243676"/>
      <w:bookmarkStart w:id="65" w:name="_Toc452108767"/>
      <w:bookmarkStart w:id="66" w:name="_Toc451698939"/>
      <w:bookmarkStart w:id="67" w:name="_Toc50050021"/>
      <w:bookmarkStart w:id="68" w:name="_Toc23583"/>
      <w:r>
        <w:rPr>
          <w:rFonts w:hint="eastAsia"/>
        </w:rPr>
        <w:t>求解计算</w:t>
      </w:r>
      <w:bookmarkEnd w:id="64"/>
      <w:bookmarkEnd w:id="65"/>
      <w:bookmarkEnd w:id="66"/>
      <w:bookmarkEnd w:id="67"/>
      <w:bookmarkEnd w:id="68"/>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69"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9"/>
      <w:r>
        <w:rPr>
          <w:rFonts w:hint="eastAsia" w:ascii="微软雅黑" w:hAnsi="微软雅黑" w:eastAsia="微软雅黑"/>
          <w:sz w:val="18"/>
          <w:szCs w:val="18"/>
        </w:rPr>
        <w:t xml:space="preserve"> </w:t>
      </w:r>
      <w:bookmarkStart w:id="70" w:name="_Ref225175618"/>
      <w:r>
        <w:rPr>
          <w:rFonts w:hint="eastAsia" w:ascii="微软雅黑" w:hAnsi="微软雅黑" w:eastAsia="微软雅黑"/>
          <w:sz w:val="18"/>
          <w:szCs w:val="18"/>
        </w:rPr>
        <w:t>计算流体力学的控制方程</w:t>
      </w:r>
      <w:bookmarkEnd w:id="70"/>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1" w:name="_Toc3745"/>
      <w:bookmarkStart w:id="72" w:name="_Toc50050022"/>
      <w:bookmarkStart w:id="73" w:name="_Toc58243677"/>
      <w:bookmarkStart w:id="74" w:name="_Toc19273"/>
      <w:bookmarkStart w:id="75" w:name="_Toc452108768"/>
      <w:r>
        <w:rPr>
          <w:rFonts w:hint="eastAsia"/>
        </w:rPr>
        <w:t>结果</w:t>
      </w:r>
      <w:r>
        <w:t>分析</w:t>
      </w:r>
      <w:bookmarkEnd w:id="71"/>
      <w:bookmarkEnd w:id="72"/>
      <w:bookmarkEnd w:id="73"/>
      <w:bookmarkEnd w:id="74"/>
      <w:bookmarkEnd w:id="75"/>
    </w:p>
    <w:p w14:paraId="5362D740">
      <w:pPr>
        <w:pStyle w:val="4"/>
        <w:rPr>
          <w:color w:val="auto"/>
        </w:rPr>
      </w:pPr>
      <w:bookmarkStart w:id="76" w:name="_Toc50050023"/>
      <w:bookmarkStart w:id="77" w:name="_Toc58243678"/>
      <w:bookmarkStart w:id="78" w:name="_Toc20225"/>
      <w:r>
        <w:rPr>
          <w:rFonts w:hint="eastAsia"/>
          <w:color w:val="auto"/>
        </w:rPr>
        <w:t>室内速度场分布</w:t>
      </w:r>
      <w:bookmarkEnd w:id="76"/>
      <w:bookmarkEnd w:id="77"/>
      <w:bookmarkEnd w:id="78"/>
    </w:p>
    <w:p w14:paraId="2227CD58">
      <w:pPr>
        <w:pStyle w:val="3"/>
        <w:ind w:firstLine="0" w:firstLineChars="0"/>
        <w:jc w:val="center"/>
        <w:rPr>
          <w:rFonts w:ascii="微软雅黑" w:hAnsi="微软雅黑" w:eastAsia="微软雅黑"/>
          <w:lang w:val="en-US"/>
        </w:rPr>
      </w:pPr>
      <w:bookmarkStart w:id="79" w:name="速度云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p>
    <w:bookmarkEnd w:id="79"/>
    <w:p w14:paraId="047F7F57">
      <w:pPr>
        <w:pStyle w:val="31"/>
        <w:ind w:firstLine="360"/>
        <w:jc w:val="center"/>
        <w:rPr>
          <w:color w:val="auto"/>
          <w:sz w:val="18"/>
          <w:szCs w:val="18"/>
        </w:rPr>
      </w:pPr>
      <w:bookmarkStart w:id="80" w:name="_Toc50050024"/>
      <w:bookmarkStart w:id="81" w:name="_Toc58243679"/>
      <w:r>
        <w:rPr>
          <w:color w:val="auto"/>
          <w:sz w:val="18"/>
          <w:szCs w:val="18"/>
        </w:rPr>
        <w:t>图6-1 室内速度分布</w:t>
      </w:r>
    </w:p>
    <w:p w14:paraId="366A6D47">
      <w:pPr>
        <w:pStyle w:val="4"/>
        <w:rPr>
          <w:color w:val="auto"/>
        </w:rPr>
      </w:pPr>
      <w:bookmarkStart w:id="82" w:name="_Toc2527"/>
      <w:r>
        <w:rPr>
          <w:rFonts w:hint="eastAsia"/>
          <w:color w:val="auto"/>
        </w:rPr>
        <w:t>室内风速矢量图</w:t>
      </w:r>
      <w:bookmarkEnd w:id="80"/>
      <w:bookmarkEnd w:id="81"/>
      <w:bookmarkEnd w:id="82"/>
    </w:p>
    <w:p w14:paraId="50FDFEBA">
      <w:pPr>
        <w:pStyle w:val="3"/>
        <w:ind w:firstLine="0" w:firstLineChars="0"/>
        <w:jc w:val="center"/>
        <w:rPr>
          <w:rFonts w:ascii="微软雅黑" w:hAnsi="微软雅黑" w:eastAsia="微软雅黑"/>
          <w:lang w:val="en-US"/>
        </w:rPr>
      </w:pPr>
      <w:bookmarkStart w:id="83" w:name="速度矢量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3"/>
    <w:p w14:paraId="61994DB7">
      <w:pPr>
        <w:pStyle w:val="31"/>
        <w:ind w:firstLine="360"/>
        <w:jc w:val="center"/>
        <w:rPr>
          <w:color w:val="auto"/>
          <w:sz w:val="18"/>
          <w:szCs w:val="18"/>
        </w:rPr>
      </w:pPr>
      <w:bookmarkStart w:id="84" w:name="_Toc58243680"/>
      <w:bookmarkStart w:id="85" w:name="_Toc50050025"/>
      <w:r>
        <w:rPr>
          <w:color w:val="auto"/>
          <w:sz w:val="18"/>
          <w:szCs w:val="18"/>
        </w:rPr>
        <w:t>图6-2 室内风速矢量图</w:t>
      </w:r>
    </w:p>
    <w:p w14:paraId="0A7367C3">
      <w:pPr>
        <w:pStyle w:val="4"/>
        <w:rPr>
          <w:color w:val="auto"/>
        </w:rPr>
      </w:pPr>
      <w:bookmarkStart w:id="86" w:name="_Toc1956"/>
      <w:r>
        <w:rPr>
          <w:rFonts w:hint="eastAsia"/>
          <w:color w:val="auto"/>
        </w:rPr>
        <w:t>流线图</w:t>
      </w:r>
      <w:bookmarkEnd w:id="86"/>
    </w:p>
    <w:p w14:paraId="73D04A22">
      <w:pPr>
        <w:pStyle w:val="3"/>
        <w:ind w:firstLine="420"/>
        <w:jc w:val="center"/>
        <w:rPr>
          <w:rFonts w:ascii="微软雅黑" w:hAnsi="微软雅黑" w:eastAsia="微软雅黑"/>
          <w:lang w:val="en-US"/>
        </w:rPr>
      </w:pPr>
      <w:bookmarkStart w:id="87" w:name="流线图"/>
      <w:bookmarkEnd w:id="87"/>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8" w:name="_Toc16870"/>
      <w:r>
        <w:rPr>
          <w:rFonts w:hint="eastAsia"/>
        </w:rPr>
        <w:t>结论</w:t>
      </w:r>
      <w:bookmarkEnd w:id="84"/>
      <w:bookmarkEnd w:id="85"/>
      <w:bookmarkEnd w:id="88"/>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3"/>
    <w:bookmarkEnd w:id="57"/>
    <w:bookmarkEnd w:id="58"/>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150B3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18150B30"/>
    <w:rsid w:val="2BD524DD"/>
    <w:rsid w:val="72E8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tmp7.dotx</Template>
  <Pages>37</Pages>
  <Words>1325</Words>
  <Characters>1479</Characters>
  <Lines>26</Lines>
  <Paragraphs>7</Paragraphs>
  <TotalTime>1</TotalTime>
  <ScaleCrop>false</ScaleCrop>
  <LinksUpToDate>false</LinksUpToDate>
  <CharactersWithSpaces>1529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2025-07-16T08:45:00Z</dcterms:created>
  <dc:creator>要咩有咩~</dc:creator>
  <cp:lastModifiedBy>要咩有咩~</cp:lastModifiedBy>
  <dcterms:modified xsi:type="dcterms:W3CDTF">2025-07-31T03:15:30Z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A69D4237AFD247C4965B4AD926DE3159_11</vt:lpwstr>
  </property>
  <property fmtid="{D5CDD505-2E9C-101B-9397-08002B2CF9AE}" pid="4" name="KSOTemplateDocerSaveRecord">
    <vt:lpwstr>eyJoZGlkIjoiYjA5MzcyZDE2ZDYzZjJhNzYzOTExMTIzZjlmYzVhOGEiLCJ1c2VySWQiOiIyNzkxOTMyNDcifQ==</vt:lpwstr>
  </property>
</Properties>
</file>