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jc w:val="center"/>
      </w:pPr>
      <w:r>
        <w:rPr>
          <w:rFonts w:hint="eastAsia" w:ascii="宋体" w:hAnsi="宋体"/>
          <w:b/>
          <w:bCs/>
          <w:color w:val="000000"/>
          <w:sz w:val="24"/>
          <w:szCs w:val="24"/>
        </w:rPr>
        <w:t>8 环境宜居</w:t>
      </w:r>
    </w:p>
    <w:tbl>
      <w:tblPr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</w:tblPr>
      <w:tr>
        <w:tc>
          <w:tcPr>
            <w:tcW w:w="1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子项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</w:rPr>
              <w:t>条文编号</w:t>
            </w:r>
          </w:p>
        </w:tc>
        <w:tc>
          <w:tcPr>
            <w:tcW w:w="5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条文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满分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达标/得分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控制项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建筑规划布局应满足日照标准，且不得降低周边建筑的日照标准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室外热环境应满足国家现行有关标准的要求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配建的绿地应符合所在地城乡规划的要求，应合理选择绿化方式，植物种植应适应当地气候和土壤，且应无毒、易维护，种植区域覆土深度和排水能力应满足植物生长需求，并应采用复层绿化方式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场地的竖向设计应有利于雨水的收集或排放，应有效组织雨水的下渗、滞蓄或再利用；对大于 10hm2 的场地应进行雨水控制利用专项设计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建筑内外均应设置便于识别和使用的标识系统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场地内不应有排放超标的污染源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生活垃圾应分类收集，垃圾容器和收集点的设置应合理并应与周围景观协调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环境宜居相关技术要求应符合现行强制性工程建设规范《建筑环境通用规范》GB 55016、《市容环卫工程项目规范》GB 55013、《园林绿化工程项目规范》GB 55014、《建筑给水排水与节水通用规范》GB 55020等的规定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h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8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50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0.0</w:t>
            </w:r>
          </w:p>
        </w:tc>
      </w:tr>
    </w:tbl>
    <w:sectPr>
      <w:pgSz w:w="11907" w:h="16839" w:code="9"/>
      <w:pgMar w:top="500" w:right="1440" w:bottom="100" w:left="1440"/>
    </w:sectPr>
  </w:body>
</w:document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