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360" w:lineRule="exact"/>
              <w:ind w:left="877" w:leftChars="487"/>
              <w:jc w:val="center"/>
              <w:rPr>
                <w:rFonts w:hint="eastAsia" w:cs="Times New Roman"/>
                <w:b/>
                <w:spacing w:val="45"/>
                <w:sz w:val="30"/>
                <w:szCs w:val="30"/>
              </w:rPr>
            </w:pPr>
            <w:bookmarkStart w:id="0" w:name="_Hlk172625491"/>
          </w:p>
          <w:p>
            <w:pPr>
              <w:spacing w:line="360" w:lineRule="exact"/>
              <w:ind w:left="877" w:leftChars="487"/>
              <w:jc w:val="center"/>
              <w:rPr>
                <w:rFonts w:cs="Times New Roman"/>
                <w:b/>
                <w:spacing w:val="45"/>
                <w:sz w:val="30"/>
                <w:szCs w:val="30"/>
              </w:rPr>
            </w:pPr>
          </w:p>
          <w:p>
            <w:pPr>
              <w:spacing w:line="360" w:lineRule="exact"/>
              <w:ind w:left="877" w:leftChars="487"/>
              <w:jc w:val="center"/>
              <w:rPr>
                <w:rFonts w:hint="eastAsia" w:cs="Times New Roman"/>
                <w:b/>
                <w:spacing w:val="45"/>
                <w:sz w:val="30"/>
                <w:szCs w:val="30"/>
              </w:rPr>
            </w:pPr>
          </w:p>
          <w:p>
            <w:pPr>
              <w:spacing w:line="360" w:lineRule="exact"/>
              <w:ind w:left="877" w:leftChars="487"/>
              <w:jc w:val="center"/>
              <w:rPr>
                <w:rFonts w:hint="eastAsia" w:cs="Times New Roman"/>
                <w:b/>
                <w:spacing w:val="45"/>
                <w:sz w:val="30"/>
                <w:szCs w:val="30"/>
              </w:rPr>
            </w:pPr>
          </w:p>
          <w:p>
            <w:pPr>
              <w:spacing w:line="360" w:lineRule="exact"/>
              <w:jc w:val="center"/>
              <w:rPr>
                <w:rFonts w:hint="eastAsia" w:cs="Times New Roman"/>
                <w:b/>
                <w:spacing w:val="45"/>
                <w:sz w:val="30"/>
                <w:szCs w:val="30"/>
              </w:rPr>
            </w:pPr>
          </w:p>
          <w:p>
            <w:pPr>
              <w:spacing w:before="312" w:beforeLines="100" w:line="360" w:lineRule="exact"/>
              <w:jc w:val="distribute"/>
              <w:rPr>
                <w:rFonts w:hint="eastAsia" w:cs="Times New Roman"/>
                <w:b/>
                <w:sz w:val="72"/>
                <w:szCs w:val="52"/>
              </w:rPr>
            </w:pPr>
            <w:r>
              <w:rPr>
                <w:rFonts w:hint="eastAsia" w:cs="Times New Roman"/>
                <w:b/>
                <w:sz w:val="72"/>
                <w:szCs w:val="52"/>
              </w:rPr>
              <w:t>构件隔声性能分析报告</w:t>
            </w:r>
          </w:p>
          <w:p>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938762496"/>
              </w:rPr>
              <w:t>住宅建</w:t>
            </w:r>
            <w:r>
              <w:rPr>
                <w:rFonts w:hint="eastAsia" w:cs="Times New Roman"/>
                <w:b/>
                <w:spacing w:val="1"/>
                <w:kern w:val="0"/>
                <w:sz w:val="48"/>
                <w:szCs w:val="48"/>
                <w:fitText w:val="2600" w:id="-938762496"/>
              </w:rPr>
              <w:t>筑</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312" w:type="dxa"/>
          </w:tcPr>
          <w:p>
            <w:pPr>
              <w:spacing w:before="468" w:beforeLines="150" w:line="360" w:lineRule="exact"/>
              <w:jc w:val="center"/>
              <w:rPr>
                <w:rFonts w:hint="eastAsia" w:cs="Times New Roman"/>
                <w:b/>
                <w:sz w:val="36"/>
                <w:szCs w:val="36"/>
              </w:rPr>
            </w:pPr>
            <w:bookmarkStart w:id="2" w:name="项目名称"/>
            <w:r>
              <w:rPr>
                <w:rFonts w:hint="eastAsia" w:cs="Times New Roman"/>
                <w:b/>
                <w:sz w:val="36"/>
                <w:szCs w:val="36"/>
              </w:rPr>
              <w:t>泰山科技学院（新校区）二期三阶段-14#宿舍</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r>
              <w:rPr>
                <w:rFonts w:hint="eastAsia" w:cs="Times New Roman"/>
                <w:b/>
                <w:sz w:val="32"/>
                <w:szCs w:val="52"/>
              </w:rPr>
              <w:t>A150004340</w:t>
            </w:r>
            <w:bookmarkEnd w:id="3"/>
          </w:p>
          <w:p>
            <w:pPr>
              <w:spacing w:line="360" w:lineRule="exact"/>
              <w:jc w:val="center"/>
              <w:rPr>
                <w:rFonts w:hint="eastAsia" w:cs="Times New Roman"/>
                <w:b/>
                <w:sz w:val="32"/>
                <w:szCs w:val="52"/>
              </w:rPr>
            </w:pPr>
            <w:bookmarkStart w:id="4" w:name="二维码"/>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360" w:lineRule="exact"/>
              <w:jc w:val="center"/>
              <w:rPr>
                <w:rFonts w:hint="eastAsia" w:cs="Times New Roman"/>
                <w:szCs w:val="20"/>
              </w:rPr>
            </w:pPr>
          </w:p>
        </w:tc>
      </w:tr>
    </w:tbl>
    <w:p>
      <w:pPr>
        <w:jc w:val="center"/>
        <w:rPr>
          <w:rFonts w:hint="eastAsia" w:cs="Times New Roman"/>
          <w:szCs w:val="20"/>
        </w:rPr>
      </w:pPr>
      <w:r>
        <w:drawing>
          <wp:inline distT="0" distB="0" distL="0" distR="0">
            <wp:extent cx="1009650" cy="10096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pPr>
        <w:jc w:val="center"/>
        <w:rPr>
          <w:rFonts w:hint="eastAsia" w:cs="Times New Roman"/>
          <w:szCs w:val="20"/>
        </w:rPr>
      </w:pPr>
    </w:p>
    <w:p>
      <w:pPr>
        <w:jc w:val="center"/>
        <w:rPr>
          <w:rFonts w:hint="eastAsia" w:cs="Times New Roman"/>
          <w:szCs w:val="20"/>
        </w:rPr>
      </w:pPr>
    </w:p>
    <w:bookmarkEnd w:id="0"/>
    <w:p>
      <w:pPr>
        <w:jc w:val="center"/>
        <w:rPr>
          <w:rFonts w:hint="eastAsia" w:cs="Times New Roman"/>
          <w:szCs w:val="20"/>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cs="Times New Roman"/>
                <w:sz w:val="24"/>
                <w:szCs w:val="24"/>
              </w:rPr>
            </w:pPr>
            <w:bookmarkStart w:id="5" w:name="建设单位"/>
            <w:r>
              <w:rPr>
                <w:rFonts w:hint="eastAsia" w:cs="Times New Roman"/>
                <w:sz w:val="24"/>
                <w:szCs w:val="24"/>
              </w:rPr>
              <w:t>泰山科技学院</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bookmarkStart w:id="6" w:name="设计单位"/>
            <w:r>
              <w:rPr>
                <w:rFonts w:hint="eastAsia" w:cs="Times New Roman"/>
                <w:sz w:val="24"/>
                <w:szCs w:val="24"/>
              </w:rPr>
              <w:t>重庆对外建设（集团）有限公司</w:t>
            </w:r>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bookmarkStart w:id="7" w:name="报告日期"/>
            <w:bookmarkStart w:id="8" w:name="计算日期"/>
            <w:r>
              <w:rPr>
                <w:rFonts w:hint="eastAsia" w:cs="Times New Roman"/>
                <w:sz w:val="24"/>
                <w:szCs w:val="24"/>
              </w:rPr>
              <w:t>2025年9月5日</w:t>
            </w:r>
            <w:bookmarkEnd w:id="7"/>
            <w:bookmarkEnd w:id="8"/>
          </w:p>
        </w:tc>
      </w:tr>
    </w:tbl>
    <w:p>
      <w:pPr>
        <w:jc w:val="center"/>
        <w:rPr>
          <w:rFonts w:hint="eastAsia" w:asciiTheme="minorHAnsi" w:hAnsiTheme="minorHAnsi" w:eastAsiaTheme="minorEastAsia" w:cstheme="minorBidi"/>
          <w:szCs w:val="22"/>
        </w:rPr>
      </w:pPr>
    </w:p>
    <w:p>
      <w:pPr>
        <w:jc w:val="center"/>
        <w:rPr>
          <w:rFonts w:hint="eastAsia" w:cs="Times New Roman"/>
          <w:szCs w:val="20"/>
        </w:rPr>
      </w:pPr>
    </w:p>
    <w:p>
      <w:pPr>
        <w:jc w:val="center"/>
        <w:rPr>
          <w:rFonts w:hint="eastAsia" w:cs="Times New Roman"/>
          <w:szCs w:val="20"/>
        </w:rPr>
      </w:pPr>
    </w:p>
    <w:p>
      <w:pPr>
        <w:jc w:val="center"/>
        <w:rPr>
          <w:rFonts w:hint="eastAsia" w:cs="Times New Roman"/>
          <w:szCs w:val="20"/>
        </w:rPr>
      </w:pPr>
    </w:p>
    <w:tbl>
      <w:tblPr>
        <w:tblStyle w:val="3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pPr>
              <w:spacing w:line="180" w:lineRule="exact"/>
              <w:ind w:right="-90" w:rightChars="-50"/>
              <w:rPr>
                <w:rFonts w:hint="eastAsia" w:cs="Times New Roman"/>
              </w:rPr>
            </w:pPr>
            <w:r>
              <w:rPr>
                <w:rFonts w:hint="eastAsia" w:cs="Times New Roman"/>
              </w:rPr>
              <w:t>：</w:t>
            </w:r>
            <w:bookmarkStart w:id="9" w:name="采用软件"/>
            <w:bookmarkStart w:id="10" w:name="软件全称"/>
            <w:r>
              <w:rPr>
                <w:rFonts w:hint="eastAsia" w:cs="Times New Roman"/>
              </w:rPr>
              <w:t>建筑声环境SEDU2025</w:t>
            </w:r>
            <w:bookmarkEnd w:id="9"/>
            <w:bookmarkEnd w:id="10"/>
          </w:p>
        </w:tc>
        <w:tc>
          <w:tcPr>
            <w:tcW w:w="3957" w:type="dxa"/>
            <w:vMerge w:val="restart"/>
            <w:tcBorders>
              <w:top w:val="single" w:color="auto" w:sz="2" w:space="0"/>
              <w:left w:val="nil"/>
              <w:bottom w:val="nil"/>
              <w:right w:val="nil"/>
            </w:tcBorders>
            <w:vAlign w:val="bottom"/>
          </w:tcPr>
          <w:p>
            <w:pPr>
              <w:bidi w:val="0"/>
              <w:spacing w:line="360" w:lineRule="exact"/>
              <w:jc w:val="right"/>
              <w:rPr>
                <w:rFonts w:hint="eastAsia"/>
              </w:rPr>
            </w:pPr>
            <w: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pPr>
              <w:spacing w:line="180" w:lineRule="exact"/>
              <w:rPr>
                <w:rFonts w:hint="eastAsia" w:cs="Times New Roman"/>
              </w:rPr>
            </w:pPr>
            <w:r>
              <w:rPr>
                <w:rFonts w:hint="eastAsia" w:cs="Times New Roman"/>
              </w:rPr>
              <w:t>：</w:t>
            </w:r>
            <w:bookmarkStart w:id="11" w:name="软件版本"/>
            <w:r>
              <w:rPr>
                <w:rFonts w:hint="eastAsia" w:cs="Times New Roman"/>
              </w:rPr>
              <w:t>20250101(SP1)</w:t>
            </w:r>
            <w:bookmarkEnd w:id="11"/>
          </w:p>
        </w:tc>
        <w:tc>
          <w:tcPr>
            <w:tcW w:w="3957" w:type="dxa"/>
            <w:vMerge w:val="continue"/>
            <w:tcBorders>
              <w:top w:val="single" w:color="auto" w:sz="2" w:space="0"/>
              <w:left w:val="nil"/>
              <w:bottom w:val="nil"/>
              <w:right w:val="nil"/>
            </w:tcBorders>
            <w:vAlign w:val="center"/>
          </w:tcPr>
          <w:p>
            <w:pPr>
              <w:spacing w:line="360" w:lineRule="exact"/>
              <w:jc w:val="center"/>
              <w:rPr>
                <w:rFonts w:hint="eastAsia" w:cs="Times New Roman" w:asciiTheme="minorHAnsi" w:hAnsiTheme="minorHAnsi" w:eastAsiaTheme="minorEastAsia"/>
                <w:color w:val="767171" w:themeColor="background2" w:themeShade="80"/>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pPr>
              <w:spacing w:line="180" w:lineRule="exact"/>
              <w:rPr>
                <w:rFonts w:hint="eastAsia" w:cs="Times New Roman"/>
              </w:rPr>
            </w:pPr>
            <w:r>
              <w:rPr>
                <w:rFonts w:hint="eastAsia" w:cs="Times New Roman"/>
              </w:rPr>
              <w:t>：</w:t>
            </w:r>
            <w:bookmarkStart w:id="12" w:name="正版授权码"/>
            <w:bookmarkStart w:id="13" w:name="加密锁号"/>
            <w:r>
              <w:rPr>
                <w:rFonts w:hint="eastAsia" w:cs="Times New Roman"/>
              </w:rPr>
              <w:t>T18653800076</w:t>
            </w:r>
            <w:bookmarkEnd w:id="12"/>
            <w:bookmarkEnd w:id="13"/>
          </w:p>
        </w:tc>
        <w:tc>
          <w:tcPr>
            <w:tcW w:w="3957" w:type="dxa"/>
            <w:vMerge w:val="continue"/>
            <w:tcBorders>
              <w:top w:val="single" w:color="auto" w:sz="2" w:space="0"/>
              <w:left w:val="nil"/>
              <w:bottom w:val="nil"/>
              <w:right w:val="nil"/>
            </w:tcBorders>
            <w:vAlign w:val="center"/>
          </w:tcPr>
          <w:p>
            <w:pPr>
              <w:spacing w:line="360" w:lineRule="exact"/>
              <w:jc w:val="center"/>
              <w:rPr>
                <w:rFonts w:hint="eastAsia" w:cs="Times New Roman" w:asciiTheme="minorHAnsi" w:hAnsiTheme="minorHAnsi" w:eastAsiaTheme="minorEastAsia"/>
                <w:color w:val="767171" w:themeColor="background2" w:themeShade="80"/>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jc w:val="center"/>
              <w:rPr>
                <w:rFonts w:hint="eastAsia" w:cs="Times New Roman" w:asciiTheme="minorHAnsi" w:hAnsiTheme="minorHAnsi" w:eastAsiaTheme="minorEastAsia"/>
                <w:color w:val="767171" w:themeColor="background2" w:themeShade="80"/>
                <w:szCs w:val="22"/>
              </w:rPr>
            </w:pPr>
          </w:p>
        </w:tc>
      </w:tr>
    </w:tbl>
    <w:p>
      <w:pPr>
        <w:tabs>
          <w:tab w:val="left" w:pos="2310"/>
          <w:tab w:val="center" w:pos="4333"/>
        </w:tabs>
        <w:rPr>
          <w:rFonts w:hint="eastAsia" w:cs="Times New Roman"/>
          <w:szCs w:val="20"/>
        </w:rPr>
      </w:pPr>
    </w:p>
    <w:p>
      <w:pPr>
        <w:tabs>
          <w:tab w:val="left" w:pos="2310"/>
          <w:tab w:val="center" w:pos="4333"/>
        </w:tabs>
        <w:rPr>
          <w:rFonts w:hint="eastAsia" w:cs="Times New Roman"/>
          <w:szCs w:val="20"/>
        </w:rPr>
      </w:pPr>
    </w:p>
    <w:p>
      <w:pPr>
        <w:rPr>
          <w:rFonts w:hint="eastAsia" w:cs="Times New Roman"/>
          <w:szCs w:val="20"/>
        </w:rPr>
      </w:pPr>
    </w:p>
    <w:p>
      <w:pPr>
        <w:rPr>
          <w:rFonts w:hint="eastAsia" w:cs="Times New Roman"/>
          <w:szCs w:val="20"/>
        </w:rPr>
      </w:pPr>
    </w:p>
    <w:p>
      <w:pPr>
        <w:tabs>
          <w:tab w:val="left" w:pos="1091"/>
        </w:tabs>
        <w:rPr>
          <w:rFonts w:hint="eastAsia" w:cs="Times New Roman"/>
          <w:szCs w:val="20"/>
        </w:rPr>
      </w:pPr>
      <w:r>
        <w:rPr>
          <w:rFonts w:hint="eastAsia" w:cs="Times New Roman"/>
          <w:szCs w:val="20"/>
        </w:rPr>
        <w:tab/>
      </w:r>
    </w:p>
    <w:p>
      <w:pPr>
        <w:spacing w:before="312" w:beforeLines="100" w:line="276" w:lineRule="auto"/>
        <w:jc w:val="center"/>
        <w:rPr>
          <w:rFonts w:hint="eastAsia" w:ascii="黑体" w:hAnsi="宋体" w:eastAsia="黑体"/>
          <w:b/>
          <w:bCs/>
          <w:sz w:val="72"/>
          <w:szCs w:val="72"/>
        </w:rPr>
      </w:pPr>
    </w:p>
    <w:p>
      <w:pPr>
        <w:pStyle w:val="3"/>
        <w:jc w:val="center"/>
        <w:rPr>
          <w:rFonts w:hint="eastAsia"/>
          <w:b/>
        </w:rPr>
      </w:pPr>
      <w:r>
        <w:rPr>
          <w:rFonts w:hint="eastAsia"/>
          <w:b/>
          <w:sz w:val="28"/>
        </w:rPr>
        <w:t>目  录</w:t>
      </w:r>
    </w:p>
    <w:p>
      <w:pPr>
        <w:pStyle w:val="17"/>
        <w:pBdr>
          <w:bottom w:val="none" w:color="auto" w:sz="0" w:space="0"/>
        </w:pBdr>
        <w:tabs>
          <w:tab w:val="clear" w:pos="4153"/>
          <w:tab w:val="clear" w:pos="8306"/>
        </w:tabs>
        <w:snapToGrid/>
        <w:rPr>
          <w:rFonts w:hint="eastAsia" w:ascii="宋体" w:hAnsi="宋体"/>
          <w:szCs w:val="20"/>
        </w:rPr>
      </w:pPr>
    </w:p>
    <w:p>
      <w:pPr>
        <w:pStyle w:val="18"/>
        <w:tabs>
          <w:tab w:val="right" w:leader="dot" w:pos="9070"/>
          <w:tab w:val="clear" w:pos="180"/>
          <w:tab w:val="clear" w:pos="9360"/>
        </w:tabs>
      </w:pPr>
      <w:bookmarkStart w:id="14"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_Toc9957 </w:instrText>
      </w:r>
      <w:r>
        <w:rPr>
          <w:rFonts w:ascii="宋体" w:hAnsi="宋体"/>
          <w:caps/>
        </w:rPr>
        <w:fldChar w:fldCharType="separate"/>
      </w:r>
      <w:r>
        <w:rPr>
          <w:rFonts w:hint="eastAsia"/>
        </w:rPr>
        <w:t>1 建筑概况</w:t>
      </w:r>
      <w:r>
        <w:tab/>
      </w:r>
      <w:r>
        <w:fldChar w:fldCharType="begin"/>
      </w:r>
      <w:r>
        <w:instrText xml:space="preserve"> PAGEREF _Toc9957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_Toc19209 </w:instrText>
      </w:r>
      <w:r>
        <w:fldChar w:fldCharType="separate"/>
      </w:r>
      <w:r>
        <w:rPr>
          <w:rFonts w:hint="eastAsia"/>
        </w:rPr>
        <w:t>2 评价依据</w:t>
      </w:r>
      <w:r>
        <w:tab/>
      </w:r>
      <w:r>
        <w:fldChar w:fldCharType="begin"/>
      </w:r>
      <w:r>
        <w:instrText xml:space="preserve"> PAGEREF _Toc19209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_Toc14145 </w:instrText>
      </w:r>
      <w:r>
        <w:fldChar w:fldCharType="separate"/>
      </w:r>
      <w:r>
        <w:rPr>
          <w:rFonts w:hint="eastAsia"/>
        </w:rPr>
        <w:t>3 标准</w:t>
      </w:r>
      <w:r>
        <w:t>要求</w:t>
      </w:r>
      <w:r>
        <w:tab/>
      </w:r>
      <w:r>
        <w:fldChar w:fldCharType="begin"/>
      </w:r>
      <w:r>
        <w:instrText xml:space="preserve"> PAGEREF _Toc14145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_Toc28894 </w:instrText>
      </w:r>
      <w:r>
        <w:fldChar w:fldCharType="separate"/>
      </w:r>
      <w:r>
        <w:rPr>
          <w:rFonts w:hint="eastAsia"/>
          <w:kern w:val="2"/>
        </w:rPr>
        <w:t>4 隔声理论概述</w:t>
      </w:r>
      <w:r>
        <w:tab/>
      </w:r>
      <w:r>
        <w:fldChar w:fldCharType="begin"/>
      </w:r>
      <w:r>
        <w:instrText xml:space="preserve"> PAGEREF _Toc28894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_Toc28844 </w:instrText>
      </w:r>
      <w:r>
        <w:fldChar w:fldCharType="separate"/>
      </w:r>
      <w:r>
        <w:rPr>
          <w:rFonts w:hint="eastAsia"/>
        </w:rPr>
        <w:t>4.1 原理概要</w:t>
      </w:r>
      <w:r>
        <w:tab/>
      </w:r>
      <w:r>
        <w:fldChar w:fldCharType="begin"/>
      </w:r>
      <w:r>
        <w:instrText xml:space="preserve"> PAGEREF _Toc28844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_Toc13568 </w:instrText>
      </w:r>
      <w:r>
        <w:fldChar w:fldCharType="separate"/>
      </w:r>
      <w:r>
        <w:rPr>
          <w:rFonts w:hint="eastAsia"/>
        </w:rPr>
        <w:t>4.2 质量定律</w:t>
      </w:r>
      <w:r>
        <w:tab/>
      </w:r>
      <w:r>
        <w:fldChar w:fldCharType="begin"/>
      </w:r>
      <w:r>
        <w:instrText xml:space="preserve"> PAGEREF _Toc13568 \h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_Toc32704 </w:instrText>
      </w:r>
      <w:r>
        <w:fldChar w:fldCharType="separate"/>
      </w:r>
      <w:r>
        <w:rPr>
          <w:rFonts w:hint="eastAsia"/>
        </w:rPr>
        <w:t xml:space="preserve">4.3 </w:t>
      </w:r>
      <w:r>
        <w:t>隔声</w:t>
      </w:r>
      <w:r>
        <w:rPr>
          <w:rFonts w:hint="eastAsia"/>
        </w:rPr>
        <w:t>量计算经验</w:t>
      </w:r>
      <w:r>
        <w:t>公式</w:t>
      </w:r>
      <w:r>
        <w:tab/>
      </w:r>
      <w:r>
        <w:fldChar w:fldCharType="begin"/>
      </w:r>
      <w:r>
        <w:instrText xml:space="preserve"> PAGEREF _Toc32704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_Toc28538 </w:instrText>
      </w:r>
      <w:r>
        <w:fldChar w:fldCharType="separate"/>
      </w:r>
      <w:r>
        <w:rPr>
          <w:rFonts w:hint="eastAsia"/>
        </w:rPr>
        <w:t>4.4 单值评价量</w:t>
      </w:r>
      <w:r>
        <w:tab/>
      </w:r>
      <w:r>
        <w:fldChar w:fldCharType="begin"/>
      </w:r>
      <w:r>
        <w:instrText xml:space="preserve"> PAGEREF _Toc28538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_Toc10953 </w:instrText>
      </w:r>
      <w:r>
        <w:fldChar w:fldCharType="separate"/>
      </w:r>
      <w:r>
        <w:rPr>
          <w:rFonts w:hint="eastAsia"/>
        </w:rPr>
        <w:t>4.5 频谱修正量</w:t>
      </w:r>
      <w:r>
        <w:tab/>
      </w:r>
      <w:r>
        <w:fldChar w:fldCharType="begin"/>
      </w:r>
      <w:r>
        <w:instrText xml:space="preserve"> PAGEREF _Toc10953 \h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_Toc10774 </w:instrText>
      </w:r>
      <w:r>
        <w:fldChar w:fldCharType="separate"/>
      </w:r>
      <w:r>
        <w:rPr>
          <w:rFonts w:hint="eastAsia"/>
        </w:rPr>
        <w:t>5 构件空气声隔声性能</w:t>
      </w:r>
      <w:r>
        <w:tab/>
      </w:r>
      <w:r>
        <w:fldChar w:fldCharType="begin"/>
      </w:r>
      <w:r>
        <w:instrText xml:space="preserve"> PAGEREF _Toc10774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_Toc26223 </w:instrText>
      </w:r>
      <w:r>
        <w:fldChar w:fldCharType="separate"/>
      </w:r>
      <w:r>
        <w:rPr>
          <w:rFonts w:hint="eastAsia"/>
        </w:rPr>
        <w:t>5.1 墙板的空气声隔声量</w:t>
      </w:r>
      <w:r>
        <w:tab/>
      </w:r>
      <w:r>
        <w:fldChar w:fldCharType="begin"/>
      </w:r>
      <w:r>
        <w:instrText xml:space="preserve"> PAGEREF _Toc26223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_Toc22742 </w:instrText>
      </w:r>
      <w:r>
        <w:fldChar w:fldCharType="separate"/>
      </w:r>
      <w:r>
        <w:rPr>
          <w:rFonts w:hint="eastAsia"/>
        </w:rPr>
        <w:t>5.1.1 墙板构造做法</w:t>
      </w:r>
      <w:r>
        <w:tab/>
      </w:r>
      <w:r>
        <w:fldChar w:fldCharType="begin"/>
      </w:r>
      <w:r>
        <w:instrText xml:space="preserve"> PAGEREF _Toc22742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_Toc18623 </w:instrText>
      </w:r>
      <w:r>
        <w:fldChar w:fldCharType="separate"/>
      </w:r>
      <w:r>
        <w:rPr>
          <w:rFonts w:hint="eastAsia"/>
        </w:rPr>
        <w:t>5.1.2 墙板空气声隔声性能</w:t>
      </w:r>
      <w:r>
        <w:tab/>
      </w:r>
      <w:r>
        <w:fldChar w:fldCharType="begin"/>
      </w:r>
      <w:r>
        <w:instrText xml:space="preserve"> PAGEREF _Toc18623 \h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_Toc11097 </w:instrText>
      </w:r>
      <w:r>
        <w:fldChar w:fldCharType="separate"/>
      </w:r>
      <w:r>
        <w:rPr>
          <w:rFonts w:hint="eastAsia"/>
        </w:rPr>
        <w:t>5.2 门窗的空气声隔声量</w:t>
      </w:r>
      <w:r>
        <w:tab/>
      </w:r>
      <w:r>
        <w:fldChar w:fldCharType="begin"/>
      </w:r>
      <w:r>
        <w:instrText xml:space="preserve"> PAGEREF _Toc11097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_Toc5499 </w:instrText>
      </w:r>
      <w:r>
        <w:fldChar w:fldCharType="separate"/>
      </w:r>
      <w:r>
        <w:rPr>
          <w:rFonts w:hint="eastAsia"/>
        </w:rPr>
        <w:t>6 楼板撞击声隔声性能</w:t>
      </w:r>
      <w:r>
        <w:tab/>
      </w:r>
      <w:r>
        <w:fldChar w:fldCharType="begin"/>
      </w:r>
      <w:r>
        <w:instrText xml:space="preserve"> PAGEREF _Toc5499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_Toc26230 </w:instrText>
      </w:r>
      <w:r>
        <w:fldChar w:fldCharType="separate"/>
      </w:r>
      <w:r>
        <w:rPr>
          <w:rFonts w:hint="eastAsia"/>
          <w:kern w:val="2"/>
        </w:rPr>
        <w:t>7 星级技术要求</w:t>
      </w:r>
      <w:r>
        <w:tab/>
      </w:r>
      <w:r>
        <w:fldChar w:fldCharType="begin"/>
      </w:r>
      <w:r>
        <w:instrText xml:space="preserve"> PAGEREF _Toc26230 \h </w:instrText>
      </w:r>
      <w:r>
        <w:fldChar w:fldCharType="separate"/>
      </w:r>
      <w:r>
        <w:t>12</w:t>
      </w:r>
      <w:r>
        <w:fldChar w:fldCharType="end"/>
      </w:r>
      <w:r>
        <w:fldChar w:fldCharType="end"/>
      </w:r>
    </w:p>
    <w:p>
      <w:pPr>
        <w:pStyle w:val="20"/>
        <w:tabs>
          <w:tab w:val="right" w:leader="dot" w:pos="9070"/>
          <w:tab w:val="clear" w:pos="540"/>
          <w:tab w:val="clear" w:pos="9360"/>
        </w:tabs>
      </w:pPr>
      <w:r>
        <w:fldChar w:fldCharType="begin"/>
      </w:r>
      <w:r>
        <w:instrText xml:space="preserve"> HYPERLINK \l _Toc13778 </w:instrText>
      </w:r>
      <w:r>
        <w:fldChar w:fldCharType="separate"/>
      </w:r>
      <w:r>
        <w:rPr>
          <w:rFonts w:hint="eastAsia"/>
        </w:rPr>
        <w:t>7.1 外墙-室外与卧室之间</w:t>
      </w:r>
      <w:r>
        <w:tab/>
      </w:r>
      <w:r>
        <w:fldChar w:fldCharType="begin"/>
      </w:r>
      <w:r>
        <w:instrText xml:space="preserve"> PAGEREF _Toc13778 \h </w:instrText>
      </w:r>
      <w:r>
        <w:fldChar w:fldCharType="separate"/>
      </w:r>
      <w:r>
        <w:t>12</w:t>
      </w:r>
      <w:r>
        <w:fldChar w:fldCharType="end"/>
      </w:r>
      <w:r>
        <w:fldChar w:fldCharType="end"/>
      </w:r>
    </w:p>
    <w:p>
      <w:pPr>
        <w:pStyle w:val="20"/>
        <w:tabs>
          <w:tab w:val="right" w:leader="dot" w:pos="9070"/>
          <w:tab w:val="clear" w:pos="540"/>
          <w:tab w:val="clear" w:pos="9360"/>
        </w:tabs>
      </w:pPr>
      <w:r>
        <w:fldChar w:fldCharType="begin"/>
      </w:r>
      <w:r>
        <w:instrText xml:space="preserve"> HYPERLINK \l _Toc28552 </w:instrText>
      </w:r>
      <w:r>
        <w:fldChar w:fldCharType="separate"/>
      </w:r>
      <w:r>
        <w:rPr>
          <w:rFonts w:hint="eastAsia"/>
        </w:rPr>
        <w:t>7.2 分户墙</w:t>
      </w:r>
      <w:r>
        <w:t>-</w:t>
      </w:r>
      <w:r>
        <w:rPr>
          <w:rFonts w:hint="eastAsia"/>
        </w:rPr>
        <w:t>两侧卧室之间</w:t>
      </w:r>
      <w:r>
        <w:tab/>
      </w:r>
      <w:r>
        <w:fldChar w:fldCharType="begin"/>
      </w:r>
      <w:r>
        <w:instrText xml:space="preserve"> PAGEREF _Toc28552 \h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_Toc16113 </w:instrText>
      </w:r>
      <w:r>
        <w:fldChar w:fldCharType="separate"/>
      </w:r>
      <w:r>
        <w:rPr>
          <w:rFonts w:hint="eastAsia"/>
          <w:kern w:val="2"/>
        </w:rPr>
        <w:t>8 结论</w:t>
      </w:r>
      <w:r>
        <w:tab/>
      </w:r>
      <w:r>
        <w:fldChar w:fldCharType="begin"/>
      </w:r>
      <w:r>
        <w:instrText xml:space="preserve"> PAGEREF _Toc16113 \h </w:instrText>
      </w:r>
      <w:r>
        <w:fldChar w:fldCharType="separate"/>
      </w:r>
      <w:r>
        <w:t>13</w:t>
      </w:r>
      <w:r>
        <w:fldChar w:fldCharType="end"/>
      </w:r>
      <w:r>
        <w:fldChar w:fldCharType="end"/>
      </w:r>
    </w:p>
    <w:p>
      <w:pPr>
        <w:pStyle w:val="18"/>
        <w:rPr>
          <w:rFonts w:hint="eastAsia"/>
        </w:rPr>
        <w:sectPr>
          <w:footerReference r:id="rId3" w:type="even"/>
          <w:pgSz w:w="11906" w:h="16838"/>
          <w:pgMar w:top="1440" w:right="1418" w:bottom="284" w:left="1418" w:header="851" w:footer="0" w:gutter="0"/>
          <w:cols w:space="425" w:num="1"/>
          <w:titlePg/>
          <w:docGrid w:type="lines" w:linePitch="312" w:charSpace="0"/>
        </w:sectPr>
      </w:pPr>
      <w:r>
        <w:fldChar w:fldCharType="end"/>
      </w:r>
      <w:bookmarkEnd w:id="14"/>
    </w:p>
    <w:p>
      <w:pPr>
        <w:pStyle w:val="2"/>
        <w:ind w:left="669" w:hanging="669"/>
        <w:rPr>
          <w:rFonts w:hint="eastAsia"/>
        </w:rPr>
      </w:pPr>
      <w:bookmarkStart w:id="15" w:name="_Toc9957"/>
      <w:r>
        <w:rPr>
          <w:rFonts w:hint="eastAsia"/>
        </w:rPr>
        <w:t>建筑概况</w:t>
      </w:r>
      <w:bookmarkEnd w:id="15"/>
    </w:p>
    <w:p>
      <w:pPr>
        <w:pStyle w:val="3"/>
        <w:ind w:firstLine="420"/>
        <w:jc w:val="center"/>
        <w:rPr>
          <w:rFonts w:hint="eastAsia"/>
          <w:sz w:val="18"/>
          <w:szCs w:val="18"/>
          <w:lang w:val="en-US"/>
        </w:rPr>
      </w:pPr>
      <w:r>
        <w:rPr>
          <w:rFonts w:hint="eastAsia"/>
        </w:rPr>
        <w:t>表</w:t>
      </w:r>
      <w:r>
        <w:t>1.1</w:t>
      </w:r>
      <w:r>
        <w:rPr>
          <w:rFonts w:hint="eastAsia"/>
        </w:rPr>
        <w:t xml:space="preserve">  项目概况</w:t>
      </w:r>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工程名称</w:t>
            </w:r>
          </w:p>
        </w:tc>
        <w:tc>
          <w:tcPr>
            <w:tcW w:w="6231" w:type="dxa"/>
          </w:tcPr>
          <w:p>
            <w:pPr>
              <w:pStyle w:val="3"/>
              <w:rPr>
                <w:rFonts w:hint="eastAsia"/>
                <w:lang w:val="en-US"/>
              </w:rPr>
            </w:pPr>
            <w:bookmarkStart w:id="16" w:name="工程名称"/>
            <w:r>
              <w:t>泰山科技学院（新校区）二期三阶段-14#宿舍</w:t>
            </w:r>
            <w:bookmarkEnd w:id="1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41" w:type="dxa"/>
            <w:shd w:val="clear" w:color="auto" w:fill="E6E6E6"/>
          </w:tcPr>
          <w:p>
            <w:pPr>
              <w:pStyle w:val="3"/>
              <w:rPr>
                <w:rFonts w:hint="eastAsia" w:ascii="宋体" w:hAnsi="宋体"/>
                <w:lang w:val="en-US"/>
              </w:rPr>
            </w:pPr>
            <w:r>
              <w:rPr>
                <w:rFonts w:hint="eastAsia" w:ascii="宋体" w:hAnsi="宋体"/>
                <w:lang w:val="en-US"/>
              </w:rPr>
              <w:t xml:space="preserve">建筑面积 </w:t>
            </w:r>
            <w:r>
              <w:rPr>
                <w:lang w:val="en-US"/>
              </w:rPr>
              <w:t>(m</w:t>
            </w:r>
            <w:r>
              <w:rPr>
                <w:sz w:val="24"/>
                <w:vertAlign w:val="superscript"/>
                <w:lang w:val="en-US"/>
              </w:rPr>
              <w:t>2</w:t>
            </w:r>
            <w:r>
              <w:rPr>
                <w:lang w:val="en-US"/>
              </w:rPr>
              <w:t>)</w:t>
            </w:r>
          </w:p>
        </w:tc>
        <w:tc>
          <w:tcPr>
            <w:tcW w:w="6231" w:type="dxa"/>
          </w:tcPr>
          <w:p>
            <w:pPr>
              <w:pStyle w:val="3"/>
              <w:rPr>
                <w:rFonts w:hint="eastAsia"/>
                <w:lang w:val="en-US"/>
              </w:rPr>
            </w:pPr>
            <w:r>
              <w:rPr>
                <w:rFonts w:hint="eastAsia"/>
                <w:lang w:val="en-US"/>
              </w:rPr>
              <w:t>地上</w:t>
            </w:r>
            <w:bookmarkStart w:id="17" w:name="地上建筑面积"/>
            <w:r>
              <w:t>30118</w:t>
            </w:r>
            <w:bookmarkEnd w:id="17"/>
            <w:r>
              <w:rPr>
                <w:rFonts w:hint="eastAsia"/>
                <w:lang w:val="en-US"/>
              </w:rPr>
              <w:t xml:space="preserve">          地下</w:t>
            </w:r>
            <w:bookmarkStart w:id="18" w:name="地下建筑面积"/>
            <w:r>
              <w:t>0</w:t>
            </w:r>
            <w:bookmarkEnd w:id="18"/>
            <w:r>
              <w:rPr>
                <w:rFonts w:hint="eastAsia"/>
                <w:lang w:val="en-US"/>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建筑层数</w:t>
            </w:r>
          </w:p>
        </w:tc>
        <w:tc>
          <w:tcPr>
            <w:tcW w:w="6231" w:type="dxa"/>
          </w:tcPr>
          <w:p>
            <w:pPr>
              <w:pStyle w:val="3"/>
              <w:rPr>
                <w:rFonts w:hint="eastAsia"/>
                <w:lang w:val="en-US"/>
              </w:rPr>
            </w:pPr>
            <w:r>
              <w:rPr>
                <w:rFonts w:hint="eastAsia"/>
                <w:lang w:val="en-US"/>
              </w:rPr>
              <w:t>地上</w:t>
            </w:r>
            <w:bookmarkStart w:id="19" w:name="地上建筑层数"/>
            <w:r>
              <w:t>7</w:t>
            </w:r>
            <w:bookmarkEnd w:id="19"/>
            <w:r>
              <w:rPr>
                <w:rFonts w:hint="eastAsia"/>
                <w:lang w:val="en-US"/>
              </w:rPr>
              <w:t xml:space="preserve">       </w:t>
            </w:r>
            <w:r>
              <w:rPr>
                <w:lang w:val="en-US"/>
              </w:rPr>
              <w:t xml:space="preserve"> </w:t>
            </w:r>
            <w:r>
              <w:rPr>
                <w:rFonts w:hint="eastAsia"/>
                <w:lang w:val="en-US"/>
              </w:rPr>
              <w:t xml:space="preserve">  地下</w:t>
            </w:r>
            <w:bookmarkStart w:id="20" w:name="地下建筑层数"/>
            <w:r>
              <w:t>0</w:t>
            </w:r>
            <w:bookmarkEnd w:id="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rPr>
                <w:rFonts w:hint="eastAsia"/>
                <w:lang w:val="en-US"/>
              </w:rPr>
            </w:pPr>
            <w:r>
              <w:rPr>
                <w:rFonts w:hint="eastAsia"/>
                <w:lang w:val="en-US"/>
              </w:rPr>
              <w:t>地上</w:t>
            </w:r>
            <w:bookmarkStart w:id="21" w:name="地上建筑高度"/>
            <w:r>
              <w:t>29.1</w:t>
            </w:r>
            <w:bookmarkEnd w:id="21"/>
            <w:r>
              <w:rPr>
                <w:rFonts w:hint="eastAsia"/>
                <w:lang w:val="en-US"/>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北向角度（°）</w:t>
            </w:r>
          </w:p>
        </w:tc>
        <w:tc>
          <w:tcPr>
            <w:tcW w:w="6231" w:type="dxa"/>
          </w:tcPr>
          <w:p>
            <w:pPr>
              <w:pStyle w:val="3"/>
              <w:rPr>
                <w:rFonts w:hint="eastAsia"/>
                <w:lang w:val="en-US"/>
              </w:rPr>
            </w:pPr>
            <w:bookmarkStart w:id="22" w:name="北向角度"/>
            <w:r>
              <w:t>90</w:t>
            </w:r>
            <w:bookmarkEnd w:id="22"/>
          </w:p>
        </w:tc>
      </w:tr>
    </w:tbl>
    <w:p>
      <w:pPr>
        <w:pStyle w:val="3"/>
        <w:spacing w:before="312" w:beforeLines="100"/>
        <w:jc w:val="center"/>
        <w:rPr>
          <w:rFonts w:hint="eastAsia"/>
          <w:lang w:val="en-US"/>
        </w:rPr>
      </w:pPr>
      <w:bookmarkStart w:id="23" w:name="单体模型观察图"/>
      <w:bookmarkEnd w:id="23"/>
      <w:bookmarkStart w:id="24" w:name="围护结构概况"/>
      <w:bookmarkEnd w:id="24"/>
      <w:r>
        <w:rPr>
          <w:rFonts w:hint="eastAsia"/>
          <w:lang w:val="en-US"/>
        </w:rPr>
        <w:t>请先在[模型观察]命令中保存图片！</w:t>
      </w:r>
    </w:p>
    <w:p>
      <w:pPr>
        <w:pStyle w:val="3"/>
        <w:spacing w:before="312" w:beforeLines="100"/>
        <w:jc w:val="center"/>
        <w:rPr>
          <w:rFonts w:hint="eastAsia" w:eastAsia="微软雅黑"/>
          <w:lang w:val="en-US" w:eastAsia="zh-CN"/>
        </w:rPr>
      </w:pPr>
      <w:r>
        <w:rPr>
          <w:rFonts w:hint="eastAsia" w:eastAsia="微软雅黑"/>
          <w:lang w:val="en-US" w:eastAsia="zh-CN"/>
        </w:rPr>
        <w:drawing>
          <wp:inline distT="0" distB="0" distL="114300" distR="114300">
            <wp:extent cx="5755005" cy="2897505"/>
            <wp:effectExtent l="0" t="0" r="10795" b="10795"/>
            <wp:docPr id="1" name="图片 1" descr="隔声模型观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隔声模型观察"/>
                    <pic:cNvPicPr>
                      <a:picLocks noChangeAspect="1"/>
                    </pic:cNvPicPr>
                  </pic:nvPicPr>
                  <pic:blipFill>
                    <a:blip r:embed="rId9"/>
                    <a:stretch>
                      <a:fillRect/>
                    </a:stretch>
                  </pic:blipFill>
                  <pic:spPr>
                    <a:xfrm>
                      <a:off x="0" y="0"/>
                      <a:ext cx="5755005" cy="2897505"/>
                    </a:xfrm>
                    <a:prstGeom prst="rect">
                      <a:avLst/>
                    </a:prstGeom>
                  </pic:spPr>
                </pic:pic>
              </a:graphicData>
            </a:graphic>
          </wp:inline>
        </w:drawing>
      </w:r>
      <w:bookmarkStart w:id="80" w:name="_GoBack"/>
      <w:bookmarkEnd w:id="80"/>
    </w:p>
    <w:p>
      <w:pPr>
        <w:jc w:val="center"/>
        <w:rPr>
          <w:rFonts w:hint="eastAsia"/>
          <w:b/>
          <w:i/>
          <w:lang w:val="en-US"/>
        </w:rPr>
      </w:pPr>
      <w:r>
        <w:rPr>
          <w:rFonts w:hint="eastAsia"/>
          <w:sz w:val="21"/>
          <w:szCs w:val="21"/>
          <w:lang w:val="en-US"/>
        </w:rPr>
        <w:t xml:space="preserve"> </w:t>
      </w:r>
      <w:r>
        <w:rPr>
          <w:sz w:val="21"/>
          <w:szCs w:val="21"/>
          <w:lang w:val="en-US"/>
        </w:rPr>
        <w:t xml:space="preserve"> </w:t>
      </w:r>
      <w:r>
        <w:rPr>
          <w:rFonts w:hint="eastAsia"/>
          <w:sz w:val="21"/>
          <w:szCs w:val="21"/>
          <w:lang w:val="en-US"/>
        </w:rPr>
        <w:t>图</w:t>
      </w:r>
      <w:r>
        <w:rPr>
          <w:sz w:val="21"/>
          <w:szCs w:val="21"/>
          <w:lang w:val="en-US"/>
        </w:rPr>
        <w:t xml:space="preserve">1-1 </w:t>
      </w:r>
      <w:r>
        <w:rPr>
          <w:rFonts w:hint="eastAsia"/>
          <w:sz w:val="21"/>
          <w:szCs w:val="21"/>
          <w:lang w:val="en-US"/>
        </w:rPr>
        <w:t>建筑模型</w:t>
      </w:r>
    </w:p>
    <w:p>
      <w:pPr>
        <w:pStyle w:val="2"/>
        <w:ind w:left="669" w:hanging="669"/>
        <w:rPr>
          <w:rFonts w:hint="eastAsia"/>
        </w:rPr>
      </w:pPr>
      <w:bookmarkStart w:id="25" w:name="_Toc19209"/>
      <w:r>
        <w:rPr>
          <w:rFonts w:hint="eastAsia"/>
        </w:rPr>
        <w:t>评价依据</w:t>
      </w:r>
      <w:bookmarkEnd w:id="25"/>
    </w:p>
    <w:p>
      <w:pPr>
        <w:pStyle w:val="3"/>
        <w:numPr>
          <w:ilvl w:val="0"/>
          <w:numId w:val="2"/>
        </w:numPr>
        <w:rPr>
          <w:rFonts w:hint="eastAsia"/>
          <w:lang w:val="en-US"/>
        </w:rPr>
      </w:pPr>
      <w:bookmarkStart w:id="26" w:name="标准名称1"/>
      <w:r>
        <w:t>山东省《绿色建筑评价标准》DB37/T 5097-2021</w:t>
      </w:r>
      <w:bookmarkEnd w:id="26"/>
    </w:p>
    <w:p>
      <w:pPr>
        <w:pStyle w:val="3"/>
        <w:numPr>
          <w:ilvl w:val="0"/>
          <w:numId w:val="2"/>
        </w:numPr>
        <w:rPr>
          <w:rFonts w:hint="eastAsia"/>
          <w:lang w:val="en-US"/>
        </w:rPr>
      </w:pPr>
      <w:r>
        <w:rPr>
          <w:rFonts w:hint="eastAsia"/>
          <w:lang w:val="en-US"/>
        </w:rPr>
        <w:t>《绿色建筑评价标准》</w:t>
      </w:r>
      <w:r>
        <w:rPr>
          <w:lang w:val="en-US"/>
        </w:rPr>
        <w:t>GB/T 50378-2019</w:t>
      </w:r>
    </w:p>
    <w:p>
      <w:pPr>
        <w:pStyle w:val="3"/>
        <w:numPr>
          <w:ilvl w:val="0"/>
          <w:numId w:val="2"/>
        </w:numPr>
        <w:rPr>
          <w:rFonts w:hint="eastAsia"/>
          <w:lang w:val="en-US"/>
        </w:rPr>
      </w:pPr>
      <w:r>
        <w:rPr>
          <w:rFonts w:hint="eastAsia"/>
          <w:lang w:val="en-US"/>
        </w:rPr>
        <w:t>《绿色建筑评价技术细则》2019</w:t>
      </w:r>
    </w:p>
    <w:p>
      <w:pPr>
        <w:pStyle w:val="3"/>
        <w:numPr>
          <w:ilvl w:val="0"/>
          <w:numId w:val="2"/>
        </w:numPr>
        <w:rPr>
          <w:rFonts w:hint="eastAsia"/>
          <w:lang w:val="en-US"/>
        </w:rPr>
      </w:pPr>
      <w:r>
        <w:rPr>
          <w:rFonts w:hint="eastAsia"/>
          <w:lang w:val="en-US"/>
        </w:rPr>
        <w:t>《民用建筑隔声设计规范》</w:t>
      </w:r>
      <w:r>
        <w:rPr>
          <w:lang w:val="en-US"/>
        </w:rPr>
        <w:t>GB 50118-2010</w:t>
      </w:r>
    </w:p>
    <w:p>
      <w:pPr>
        <w:pStyle w:val="3"/>
        <w:numPr>
          <w:ilvl w:val="0"/>
          <w:numId w:val="2"/>
        </w:numPr>
        <w:rPr>
          <w:rFonts w:hint="eastAsia"/>
          <w:lang w:val="en-US"/>
        </w:rPr>
      </w:pPr>
      <w:r>
        <w:rPr>
          <w:rFonts w:hint="eastAsia"/>
          <w:lang w:val="en-US"/>
        </w:rPr>
        <w:t>《建筑隔声评价标准》</w:t>
      </w:r>
      <w:r>
        <w:rPr>
          <w:lang w:val="en-US"/>
        </w:rPr>
        <w:t>GB/T 50121-2005</w:t>
      </w:r>
    </w:p>
    <w:p>
      <w:pPr>
        <w:pStyle w:val="3"/>
        <w:numPr>
          <w:ilvl w:val="0"/>
          <w:numId w:val="2"/>
        </w:numPr>
        <w:rPr>
          <w:rFonts w:hint="eastAsia"/>
          <w:lang w:val="en-US"/>
        </w:rPr>
      </w:pPr>
      <w:r>
        <w:rPr>
          <w:rFonts w:hint="eastAsia"/>
          <w:lang w:val="en-US"/>
        </w:rPr>
        <w:t>《建筑声学设计手册》</w:t>
      </w:r>
    </w:p>
    <w:p>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rFonts w:hint="eastAsia"/>
          <w:lang w:val="en-US"/>
        </w:rPr>
      </w:pPr>
      <w:r>
        <w:rPr>
          <w:rFonts w:hint="eastAsia"/>
          <w:lang w:val="en-US"/>
        </w:rPr>
        <w:t>《声学手册》</w:t>
      </w:r>
    </w:p>
    <w:p>
      <w:pPr>
        <w:pStyle w:val="3"/>
        <w:numPr>
          <w:ilvl w:val="0"/>
          <w:numId w:val="2"/>
        </w:numPr>
        <w:rPr>
          <w:rFonts w:hint="eastAsia"/>
          <w:lang w:val="en-US"/>
        </w:rPr>
      </w:pPr>
      <w:r>
        <w:rPr>
          <w:rFonts w:hint="eastAsia"/>
          <w:lang w:val="en-US"/>
        </w:rPr>
        <w:t>《噪声与振动控制工程手册 》</w:t>
      </w:r>
    </w:p>
    <w:p>
      <w:pPr>
        <w:pStyle w:val="3"/>
        <w:numPr>
          <w:ilvl w:val="0"/>
          <w:numId w:val="2"/>
        </w:numPr>
        <w:rPr>
          <w:rFonts w:hint="eastAsia"/>
          <w:lang w:val="en-US"/>
        </w:rPr>
      </w:pPr>
      <w:r>
        <w:rPr>
          <w:rFonts w:hint="eastAsia"/>
          <w:lang w:val="en-US"/>
        </w:rPr>
        <w:t>《建筑声学设计原理》</w:t>
      </w:r>
    </w:p>
    <w:p>
      <w:pPr>
        <w:pStyle w:val="3"/>
        <w:numPr>
          <w:ilvl w:val="0"/>
          <w:numId w:val="2"/>
        </w:numPr>
        <w:rPr>
          <w:rFonts w:hint="eastAsia"/>
          <w:lang w:val="en-US"/>
        </w:rPr>
      </w:pPr>
      <w:r>
        <w:rPr>
          <w:rFonts w:hint="eastAsia"/>
          <w:lang w:val="en-US"/>
        </w:rPr>
        <w:t>《建筑设计资料集》（第二版）第2集</w:t>
      </w:r>
    </w:p>
    <w:p>
      <w:pPr>
        <w:pStyle w:val="3"/>
        <w:numPr>
          <w:ilvl w:val="0"/>
          <w:numId w:val="2"/>
        </w:numPr>
        <w:rPr>
          <w:rFonts w:hint="eastAsia"/>
          <w:lang w:val="en-US"/>
        </w:rPr>
      </w:pPr>
      <w:r>
        <w:rPr>
          <w:rFonts w:hint="eastAsia"/>
          <w:lang w:val="en-US"/>
        </w:rPr>
        <w:t xml:space="preserve">《民用建筑绿色性能计算标准》JGJ/T 449-2018 </w:t>
      </w:r>
    </w:p>
    <w:p>
      <w:pPr>
        <w:pStyle w:val="2"/>
        <w:ind w:left="669" w:hanging="669"/>
        <w:rPr>
          <w:rFonts w:hint="eastAsia"/>
        </w:rPr>
      </w:pPr>
      <w:bookmarkStart w:id="27" w:name="_Toc14145"/>
      <w:r>
        <w:rPr>
          <w:rFonts w:hint="eastAsia"/>
        </w:rPr>
        <w:t>标准</w:t>
      </w:r>
      <w:r>
        <w:t>要求</w:t>
      </w:r>
      <w:bookmarkEnd w:id="27"/>
    </w:p>
    <w:p>
      <w:pPr>
        <w:pStyle w:val="3"/>
        <w:ind w:firstLine="420" w:firstLineChars="200"/>
        <w:rPr>
          <w:rFonts w:hint="eastAsia"/>
        </w:rPr>
      </w:pPr>
      <w:bookmarkStart w:id="28" w:name="标准名称3"/>
      <w:r>
        <w:rPr>
          <w:rFonts w:hint="eastAsia"/>
        </w:rPr>
        <w:t>山东省《绿色建筑评价标准》DB37/T 5097-2021</w:t>
      </w:r>
      <w:bookmarkEnd w:id="28"/>
      <w:r>
        <w:rPr>
          <w:rFonts w:hint="eastAsia"/>
        </w:rPr>
        <w:t>对建筑围护结构隔声</w:t>
      </w:r>
      <w:r>
        <w:t>性能</w:t>
      </w:r>
      <w:r>
        <w:rPr>
          <w:rFonts w:hint="eastAsia"/>
        </w:rPr>
        <w:t>提出了明确要求。</w:t>
      </w:r>
    </w:p>
    <w:p>
      <w:pPr>
        <w:pStyle w:val="3"/>
        <w:numPr>
          <w:ilvl w:val="0"/>
          <w:numId w:val="3"/>
        </w:numPr>
        <w:rPr>
          <w:rFonts w:hint="eastAsia"/>
          <w:bCs/>
        </w:rPr>
      </w:pPr>
      <w:r>
        <w:rPr>
          <w:rFonts w:hint="eastAsia"/>
          <w:bCs/>
        </w:rPr>
        <w:t>控制项要求</w:t>
      </w:r>
      <w:r>
        <w:rPr>
          <w:bCs/>
        </w:rPr>
        <w:t xml:space="preserve">： </w:t>
      </w:r>
    </w:p>
    <w:p>
      <w:pPr>
        <w:pStyle w:val="3"/>
        <w:ind w:left="360" w:leftChars="200"/>
        <w:rPr>
          <w:rFonts w:hint="eastAsia"/>
        </w:rPr>
      </w:pPr>
      <w:r>
        <w:rPr>
          <w:rFonts w:hint="eastAsia"/>
        </w:rPr>
        <w:t>5.1.4 主要功能房间的室内噪声级和隔声性应符合下列规定：</w:t>
      </w:r>
    </w:p>
    <w:p>
      <w:pPr>
        <w:pStyle w:val="3"/>
        <w:ind w:left="720" w:leftChars="400"/>
        <w:rPr>
          <w:rFonts w:hint="eastAsia"/>
        </w:rPr>
      </w:pPr>
      <w:r>
        <w:rPr>
          <w:rFonts w:hint="eastAsia"/>
        </w:rPr>
        <w:t>1 室内噪声级应满足现行国家标准《民用建筑隔声设计规范》GB 50118 中的低限要求；</w:t>
      </w:r>
    </w:p>
    <w:p>
      <w:pPr>
        <w:pStyle w:val="3"/>
        <w:ind w:left="720" w:leftChars="400"/>
        <w:rPr>
          <w:rFonts w:hint="eastAsia"/>
        </w:rPr>
      </w:pPr>
      <w:r>
        <w:rPr>
          <w:rFonts w:hint="eastAsia"/>
        </w:rPr>
        <w:t>2 外墙、隔墙、楼板和门窗的隔声性能应满足现行国家标准《民用建筑隔声设计规范》GB 50118 中的低限要求。</w:t>
      </w:r>
    </w:p>
    <w:p>
      <w:pPr>
        <w:pStyle w:val="3"/>
        <w:numPr>
          <w:ilvl w:val="0"/>
          <w:numId w:val="4"/>
        </w:numPr>
        <w:rPr>
          <w:rFonts w:hint="eastAsia"/>
          <w:bCs/>
        </w:rPr>
      </w:pPr>
      <w:r>
        <w:rPr>
          <w:rFonts w:hint="eastAsia"/>
          <w:bCs/>
        </w:rPr>
        <w:t>评分项要求</w:t>
      </w:r>
      <w:r>
        <w:rPr>
          <w:bCs/>
        </w:rPr>
        <w:t>：</w:t>
      </w:r>
    </w:p>
    <w:p>
      <w:pPr>
        <w:pStyle w:val="3"/>
        <w:ind w:left="360" w:leftChars="200"/>
        <w:rPr>
          <w:rFonts w:hint="eastAsia"/>
        </w:rPr>
      </w:pPr>
      <w:bookmarkStart w:id="29" w:name="室内构件隔声条文内容1"/>
      <w:bookmarkEnd w:id="29"/>
      <w:r>
        <w:rPr>
          <w:rFonts w:hint="eastAsia"/>
        </w:rPr>
        <w:t>5.2.7 主要功能房间的隔声性能良好，评价总分值为 10 分，并按下列规则分别评分并累计：</w:t>
      </w:r>
    </w:p>
    <w:p>
      <w:pPr>
        <w:pStyle w:val="3"/>
        <w:ind w:left="360" w:leftChars="200"/>
        <w:rPr>
          <w:rFonts w:hint="eastAsia"/>
        </w:rPr>
      </w:pPr>
      <w:r>
        <w:rPr>
          <w:rFonts w:hint="eastAsia"/>
        </w:rPr>
        <w:t xml:space="preserve">  1 构件及相邻房间之间的空气声隔声性能达到现行国家标准《民用建筑隔声设计规范》GB 50118 中的低限标准限值和高要求标准限值的平均值，得3分；达到高要求标准限值，得5分；</w:t>
      </w:r>
    </w:p>
    <w:p>
      <w:pPr>
        <w:pStyle w:val="3"/>
        <w:ind w:left="360" w:leftChars="200"/>
        <w:rPr>
          <w:rFonts w:hint="eastAsia"/>
        </w:rPr>
      </w:pPr>
      <w:r>
        <w:rPr>
          <w:rFonts w:hint="eastAsia"/>
        </w:rPr>
        <w:t xml:space="preserve">  2 楼板的撞击声隔声性能达到现行国家标准《民用建筑隔声设计规范》GB 50118 中的低限标准限值和高要求标准限值的平均值，得3分；达到高要求标准限值，得5分。</w:t>
      </w:r>
    </w:p>
    <w:p>
      <w:pPr>
        <w:pStyle w:val="3"/>
        <w:numPr>
          <w:ilvl w:val="0"/>
          <w:numId w:val="4"/>
        </w:numPr>
        <w:rPr>
          <w:rFonts w:hint="eastAsia"/>
          <w:bCs/>
        </w:rPr>
      </w:pPr>
      <w:r>
        <w:rPr>
          <w:rFonts w:hint="eastAsia"/>
          <w:bCs/>
        </w:rPr>
        <w:t>星级技术要求：</w:t>
      </w:r>
    </w:p>
    <w:p>
      <w:pPr>
        <w:pStyle w:val="3"/>
        <w:ind w:left="360" w:leftChars="200" w:firstLine="420" w:firstLineChars="200"/>
        <w:rPr>
          <w:rFonts w:hint="eastAsia"/>
          <w:lang w:val="en-US"/>
        </w:rPr>
      </w:pPr>
      <w:bookmarkStart w:id="30" w:name="_Toc438716944"/>
      <w:r>
        <w:rPr>
          <w:rFonts w:hint="eastAsia"/>
          <w:bCs/>
          <w:lang w:val="en-US"/>
        </w:rPr>
        <w:t>《绿色建筑评价标准》</w:t>
      </w:r>
      <w:r>
        <w:rPr>
          <w:bCs/>
          <w:lang w:val="en-US"/>
        </w:rPr>
        <w:t>GB/T 50378-2019</w:t>
      </w:r>
      <w:r>
        <w:rPr>
          <w:rFonts w:hint="eastAsia"/>
          <w:bCs/>
          <w:lang w:val="en-US"/>
        </w:rPr>
        <w:t>在3.2.8条中</w:t>
      </w:r>
      <w:r>
        <w:rPr>
          <w:bCs/>
          <w:lang w:val="en-US"/>
        </w:rPr>
        <w:t>对二星级、三星级绿色建筑（住宅建筑）的隔声性能提出了要求，</w:t>
      </w:r>
      <w:r>
        <w:rPr>
          <w:rFonts w:hint="eastAsia"/>
          <w:bCs/>
          <w:lang w:val="en-US"/>
        </w:rPr>
        <w:t>二星级以上</w:t>
      </w:r>
      <w:r>
        <w:rPr>
          <w:bCs/>
          <w:lang w:val="en-US"/>
        </w:rPr>
        <w:t>住宅建筑</w:t>
      </w:r>
      <w:r>
        <w:rPr>
          <w:rFonts w:hint="eastAsia"/>
          <w:bCs/>
          <w:lang w:val="en-US"/>
        </w:rPr>
        <w:t>需满足</w:t>
      </w:r>
      <w:r>
        <w:rPr>
          <w:bCs/>
          <w:lang w:val="en-US"/>
        </w:rPr>
        <w:t>室外与卧室之间、分户墙或分户楼板</w:t>
      </w:r>
      <w:r>
        <w:rPr>
          <w:lang w:val="en-US"/>
        </w:rPr>
        <w:t>室之间的空气声隔声性能，以及卧室楼板的撞击声隔声性能的相关要求</w:t>
      </w:r>
      <w:r>
        <w:rPr>
          <w:rFonts w:hint="eastAsia"/>
          <w:lang w:val="en-US"/>
        </w:rPr>
        <w:t>：</w:t>
      </w:r>
    </w:p>
    <w:p>
      <w:pPr>
        <w:widowControl w:val="0"/>
        <w:spacing w:before="240"/>
        <w:contextualSpacing/>
        <w:jc w:val="center"/>
        <w:rPr>
          <w:rFonts w:hint="eastAsia"/>
          <w:kern w:val="2"/>
          <w:szCs w:val="21"/>
          <w:lang w:val="en-US"/>
        </w:rPr>
      </w:pPr>
      <w:r>
        <w:rPr>
          <w:rFonts w:hint="eastAsia"/>
          <w:kern w:val="2"/>
          <w:szCs w:val="21"/>
          <w:lang w:val="en-US"/>
        </w:rPr>
        <w:t xml:space="preserve"> </w:t>
      </w:r>
      <w:r>
        <w:rPr>
          <w:kern w:val="2"/>
          <w:szCs w:val="21"/>
          <w:lang w:val="en-US"/>
        </w:rPr>
        <w:t xml:space="preserve">                            </w:t>
      </w:r>
      <w:r>
        <w:rPr>
          <w:kern w:val="2"/>
          <w:sz w:val="21"/>
          <w:szCs w:val="24"/>
          <w:lang w:val="en-US"/>
        </w:rPr>
        <w:t xml:space="preserve"> </w:t>
      </w:r>
      <w:r>
        <w:rPr>
          <w:rFonts w:hint="eastAsia"/>
          <w:kern w:val="2"/>
          <w:sz w:val="21"/>
          <w:szCs w:val="24"/>
          <w:lang w:val="en-US"/>
        </w:rPr>
        <w:t>表3.1</w:t>
      </w:r>
      <w:r>
        <w:rPr>
          <w:kern w:val="2"/>
          <w:sz w:val="21"/>
          <w:szCs w:val="24"/>
          <w:lang w:val="en-US"/>
        </w:rPr>
        <w:t xml:space="preserve"> </w:t>
      </w:r>
      <w:r>
        <w:rPr>
          <w:rFonts w:hint="eastAsia"/>
          <w:kern w:val="2"/>
          <w:sz w:val="21"/>
          <w:szCs w:val="24"/>
          <w:lang w:val="en-US"/>
        </w:rPr>
        <w:t xml:space="preserve">住宅建筑隔声性能星级要求 </w:t>
      </w:r>
      <w:r>
        <w:rPr>
          <w:kern w:val="2"/>
          <w:sz w:val="21"/>
          <w:szCs w:val="24"/>
          <w:lang w:val="en-US"/>
        </w:rPr>
        <w:t xml:space="preserve">                    </w:t>
      </w:r>
      <w:r>
        <w:rPr>
          <w:rFonts w:hint="eastAsia"/>
          <w:kern w:val="2"/>
          <w:sz w:val="21"/>
          <w:szCs w:val="24"/>
          <w:lang w:val="en-US"/>
        </w:rPr>
        <w:t>单位：dB</w:t>
      </w:r>
    </w:p>
    <w:tbl>
      <w:tblPr>
        <w:tblStyle w:val="2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hint="eastAsia" w:ascii="宋体" w:hAnsi="宋体"/>
                <w:bCs/>
                <w:sz w:val="20"/>
              </w:rPr>
            </w:pPr>
            <w:r>
              <w:rPr>
                <w:rFonts w:hint="eastAsia" w:ascii="宋体" w:hAnsi="宋体"/>
                <w:bCs/>
                <w:sz w:val="20"/>
              </w:rPr>
              <w:t>隔声性能</w:t>
            </w:r>
          </w:p>
        </w:tc>
        <w:tc>
          <w:tcPr>
            <w:tcW w:w="2835" w:type="dxa"/>
            <w:shd w:val="clear" w:color="auto" w:fill="D8D8D8" w:themeFill="background1" w:themeFillShade="D9"/>
            <w:vAlign w:val="center"/>
          </w:tcPr>
          <w:p>
            <w:pPr>
              <w:spacing w:before="25" w:after="25"/>
              <w:jc w:val="center"/>
              <w:rPr>
                <w:rFonts w:hint="eastAsia" w:ascii="宋体" w:hAnsi="宋体"/>
                <w:bCs/>
                <w:sz w:val="20"/>
              </w:rPr>
            </w:pPr>
            <w:r>
              <w:rPr>
                <w:rFonts w:hint="eastAsia" w:ascii="宋体" w:hAnsi="宋体"/>
                <w:bCs/>
                <w:sz w:val="20"/>
              </w:rPr>
              <w:t>构件</w:t>
            </w:r>
          </w:p>
        </w:tc>
        <w:tc>
          <w:tcPr>
            <w:tcW w:w="2247" w:type="dxa"/>
            <w:shd w:val="clear" w:color="auto" w:fill="D8D8D8" w:themeFill="background1" w:themeFillShade="D9"/>
            <w:vAlign w:val="center"/>
          </w:tcPr>
          <w:p>
            <w:pPr>
              <w:spacing w:before="25" w:after="25"/>
              <w:jc w:val="center"/>
              <w:rPr>
                <w:rFonts w:hint="eastAsia" w:ascii="宋体" w:hAnsi="宋体"/>
                <w:bCs/>
                <w:sz w:val="20"/>
              </w:rPr>
            </w:pPr>
            <w:r>
              <w:rPr>
                <w:rFonts w:hint="eastAsia" w:ascii="宋体" w:hAnsi="宋体"/>
                <w:bCs/>
                <w:sz w:val="20"/>
              </w:rPr>
              <w:t>二星级要求</w:t>
            </w:r>
          </w:p>
        </w:tc>
        <w:tc>
          <w:tcPr>
            <w:tcW w:w="2097" w:type="dxa"/>
            <w:shd w:val="clear" w:color="auto" w:fill="D8D8D8" w:themeFill="background1" w:themeFillShade="D9"/>
            <w:vAlign w:val="center"/>
          </w:tcPr>
          <w:p>
            <w:pPr>
              <w:spacing w:before="25" w:after="25"/>
              <w:jc w:val="center"/>
              <w:rPr>
                <w:rFonts w:hint="eastAsia" w:ascii="宋体" w:hAnsi="宋体"/>
                <w:bCs/>
                <w:sz w:val="20"/>
              </w:rPr>
            </w:pPr>
            <w:r>
              <w:rPr>
                <w:rFonts w:hint="eastAsia" w:ascii="宋体" w:hAnsi="宋体"/>
                <w:bCs/>
                <w:sz w:val="20"/>
              </w:rPr>
              <w:t>三星级要求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9" w:hRule="atLeast"/>
          <w:jc w:val="center"/>
        </w:trPr>
        <w:tc>
          <w:tcPr>
            <w:tcW w:w="1838" w:type="dxa"/>
            <w:vMerge w:val="restart"/>
            <w:shd w:val="clear" w:color="auto" w:fill="D8D8D8" w:themeFill="background1" w:themeFillShade="D9"/>
            <w:vAlign w:val="center"/>
          </w:tcPr>
          <w:p>
            <w:pPr>
              <w:spacing w:before="25" w:after="25"/>
              <w:jc w:val="center"/>
              <w:rPr>
                <w:rFonts w:hint="eastAsia" w:ascii="宋体" w:hAnsi="宋体"/>
                <w:sz w:val="20"/>
              </w:rPr>
            </w:pPr>
            <w:r>
              <w:rPr>
                <w:rFonts w:hint="eastAsia" w:ascii="宋体" w:hAnsi="宋体"/>
                <w:sz w:val="20"/>
              </w:rPr>
              <w:t>空气声</w:t>
            </w:r>
          </w:p>
        </w:tc>
        <w:tc>
          <w:tcPr>
            <w:tcW w:w="2835" w:type="dxa"/>
            <w:vAlign w:val="center"/>
          </w:tcPr>
          <w:p>
            <w:pPr>
              <w:spacing w:before="25" w:after="25"/>
              <w:jc w:val="center"/>
              <w:rPr>
                <w:rFonts w:hint="eastAsia" w:ascii="宋体" w:hAnsi="宋体"/>
                <w:sz w:val="20"/>
              </w:rPr>
            </w:pPr>
            <w:r>
              <w:rPr>
                <w:rFonts w:hint="eastAsia" w:ascii="宋体" w:hAnsi="宋体"/>
                <w:sz w:val="20"/>
              </w:rPr>
              <w:t>室外与卧室之间</w:t>
            </w:r>
          </w:p>
        </w:tc>
        <w:tc>
          <w:tcPr>
            <w:tcW w:w="2247" w:type="dxa"/>
            <w:vAlign w:val="center"/>
          </w:tcPr>
          <w:p>
            <w:pPr>
              <w:spacing w:before="25" w:after="25"/>
              <w:jc w:val="center"/>
              <w:rPr>
                <w:rFonts w:hint="eastAsia"/>
                <w:sz w:val="20"/>
              </w:rPr>
            </w:pPr>
            <w:r>
              <w:rPr>
                <w:position w:val="-12"/>
                <w:szCs w:val="24"/>
              </w:rPr>
              <w:object>
                <v:shape id="_x0000_i1025" o:spt="75" type="#_x0000_t75" style="height:19.1pt;width:30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0"/>
              </w:rPr>
              <w:t>+ C</w:t>
            </w:r>
            <m:oMath>
              <m:r>
                <m:rPr/>
                <w:rPr>
                  <w:rFonts w:ascii="Cambria Math" w:hAnsi="Cambria Math"/>
                  <w:sz w:val="20"/>
                  <w:vertAlign w:val="subscript"/>
                </w:rPr>
                <m:t>tr</m:t>
              </m:r>
            </m:oMath>
            <w:r>
              <w:rPr>
                <w:sz w:val="20"/>
              </w:rPr>
              <w:t xml:space="preserve"> ≥ 35 </w:t>
            </w:r>
          </w:p>
        </w:tc>
        <w:tc>
          <w:tcPr>
            <w:tcW w:w="2097" w:type="dxa"/>
            <w:vAlign w:val="center"/>
          </w:tcPr>
          <w:p>
            <w:pPr>
              <w:spacing w:before="25" w:after="25"/>
              <w:jc w:val="center"/>
              <w:rPr>
                <w:rFonts w:hint="eastAsia"/>
                <w:sz w:val="20"/>
              </w:rPr>
            </w:pPr>
            <w:r>
              <w:rPr>
                <w:position w:val="-12"/>
                <w:szCs w:val="24"/>
              </w:rPr>
              <w:object>
                <v:shape id="_x0000_i1026" o:spt="75" type="#_x0000_t75" style="height:19.1pt;width:30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0"/>
              </w:rPr>
              <w:t>+ C</w:t>
            </w:r>
            <m:oMath>
              <m:r>
                <m:rPr/>
                <w:rPr>
                  <w:rFonts w:ascii="Cambria Math" w:hAnsi="Cambria Math"/>
                  <w:sz w:val="20"/>
                  <w:vertAlign w:val="subscript"/>
                </w:rPr>
                <m:t>tr</m:t>
              </m:r>
            </m:oMath>
            <w:r>
              <w:rPr>
                <w:sz w:val="20"/>
              </w:rPr>
              <w:t xml:space="preserve"> ≥ 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8" w:type="dxa"/>
            <w:vMerge w:val="continue"/>
            <w:shd w:val="clear" w:color="auto" w:fill="D8D8D8" w:themeFill="background1" w:themeFillShade="D9"/>
            <w:vAlign w:val="center"/>
          </w:tcPr>
          <w:p>
            <w:pPr>
              <w:spacing w:before="25" w:after="25"/>
              <w:jc w:val="center"/>
              <w:rPr>
                <w:rFonts w:hint="eastAsia" w:ascii="宋体" w:hAnsi="宋体"/>
                <w:sz w:val="20"/>
              </w:rPr>
            </w:pPr>
          </w:p>
        </w:tc>
        <w:tc>
          <w:tcPr>
            <w:tcW w:w="2835" w:type="dxa"/>
            <w:vAlign w:val="center"/>
          </w:tcPr>
          <w:p>
            <w:pPr>
              <w:spacing w:before="25" w:after="25"/>
              <w:jc w:val="center"/>
              <w:rPr>
                <w:rFonts w:hint="eastAsia"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rFonts w:hint="eastAsia"/>
                <w:sz w:val="20"/>
              </w:rPr>
            </w:pPr>
            <w:r>
              <w:rPr>
                <w:position w:val="-12"/>
                <w:szCs w:val="24"/>
              </w:rPr>
              <w:object>
                <v:shape id="_x0000_i1027" o:spt="75" type="#_x0000_t75" style="height:19.1pt;width:30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0"/>
              </w:rPr>
              <w:t xml:space="preserve">+C ≥ 47.5 </w:t>
            </w:r>
          </w:p>
        </w:tc>
        <w:tc>
          <w:tcPr>
            <w:tcW w:w="2097" w:type="dxa"/>
            <w:vAlign w:val="center"/>
          </w:tcPr>
          <w:p>
            <w:pPr>
              <w:spacing w:before="25" w:after="25"/>
              <w:jc w:val="center"/>
              <w:rPr>
                <w:rFonts w:hint="eastAsia"/>
                <w:sz w:val="20"/>
              </w:rPr>
            </w:pPr>
            <w:r>
              <w:rPr>
                <w:position w:val="-12"/>
                <w:szCs w:val="24"/>
              </w:rPr>
              <w:object>
                <v:shape id="_x0000_i1028" o:spt="75" type="#_x0000_t75" style="height:19.1pt;width:30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0"/>
              </w:rPr>
              <w:t xml:space="preserve">+C ≥ 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38" w:type="dxa"/>
            <w:shd w:val="clear" w:color="auto" w:fill="D8D8D8" w:themeFill="background1" w:themeFillShade="D9"/>
            <w:vAlign w:val="center"/>
          </w:tcPr>
          <w:p>
            <w:pPr>
              <w:spacing w:before="25" w:after="25"/>
              <w:jc w:val="center"/>
              <w:rPr>
                <w:rFonts w:hint="eastAsia" w:ascii="宋体" w:hAnsi="宋体"/>
                <w:sz w:val="20"/>
              </w:rPr>
            </w:pPr>
            <w:r>
              <w:rPr>
                <w:rFonts w:hint="eastAsia" w:ascii="宋体" w:hAnsi="宋体"/>
                <w:sz w:val="20"/>
              </w:rPr>
              <w:t>撞击声</w:t>
            </w:r>
          </w:p>
        </w:tc>
        <w:tc>
          <w:tcPr>
            <w:tcW w:w="2835" w:type="dxa"/>
            <w:vAlign w:val="center"/>
          </w:tcPr>
          <w:p>
            <w:pPr>
              <w:spacing w:before="25" w:after="25"/>
              <w:jc w:val="center"/>
              <w:rPr>
                <w:rFonts w:hint="eastAsia" w:ascii="宋体" w:hAnsi="宋体"/>
                <w:sz w:val="20"/>
              </w:rPr>
            </w:pPr>
            <w:r>
              <w:rPr>
                <w:rFonts w:hint="eastAsia" w:ascii="宋体" w:hAnsi="宋体"/>
                <w:sz w:val="20"/>
              </w:rPr>
              <w:t>卧室楼板</w:t>
            </w:r>
          </w:p>
        </w:tc>
        <w:tc>
          <w:tcPr>
            <w:tcW w:w="2247" w:type="dxa"/>
            <w:vAlign w:val="center"/>
          </w:tcPr>
          <w:p>
            <w:pPr>
              <w:spacing w:before="25" w:after="25"/>
              <w:jc w:val="center"/>
              <w:rPr>
                <w:rFonts w:hint="eastAsia"/>
                <w:sz w:val="20"/>
              </w:rPr>
            </w:pPr>
            <w:r>
              <w:rPr>
                <w:position w:val="-12"/>
                <w:szCs w:val="24"/>
              </w:rPr>
              <w:object>
                <v:shape id="_x0000_i1029" o:spt="75" type="#_x0000_t75" style="height:16.9pt;width:30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r>
              <w:rPr>
                <w:sz w:val="20"/>
              </w:rPr>
              <w:t xml:space="preserve"> ≤ 70 </w:t>
            </w:r>
          </w:p>
        </w:tc>
        <w:tc>
          <w:tcPr>
            <w:tcW w:w="2097" w:type="dxa"/>
            <w:vAlign w:val="center"/>
          </w:tcPr>
          <w:p>
            <w:pPr>
              <w:spacing w:before="25" w:after="25"/>
              <w:jc w:val="center"/>
              <w:rPr>
                <w:rFonts w:hint="eastAsia"/>
                <w:sz w:val="20"/>
              </w:rPr>
            </w:pPr>
            <w:r>
              <w:rPr>
                <w:position w:val="-12"/>
                <w:szCs w:val="24"/>
              </w:rPr>
              <w:object>
                <v:shape id="_x0000_i1030" o:spt="75" type="#_x0000_t75" style="height:16.9pt;width:30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0" r:id="rId17">
                  <o:LockedField>false</o:LockedField>
                </o:OLEObject>
              </w:object>
            </w:r>
            <w:r>
              <w:rPr>
                <w:sz w:val="20"/>
                <w:vertAlign w:val="subscript"/>
              </w:rPr>
              <w:t xml:space="preserve"> </w:t>
            </w:r>
            <w:r>
              <w:rPr>
                <w:sz w:val="20"/>
              </w:rPr>
              <w:t xml:space="preserve">≤ 65 </w:t>
            </w:r>
          </w:p>
        </w:tc>
      </w:tr>
    </w:tbl>
    <w:p>
      <w:pPr>
        <w:pStyle w:val="3"/>
        <w:spacing w:before="240"/>
        <w:ind w:left="360" w:leftChars="200" w:firstLine="420" w:firstLineChars="200"/>
        <w:rPr>
          <w:rFonts w:hint="eastAsia"/>
        </w:rPr>
      </w:pPr>
      <w:r>
        <w:rPr>
          <w:rFonts w:hint="eastAsia"/>
          <w:lang w:val="en-US"/>
        </w:rPr>
        <w:t>条文说明以及《绿色建筑评价标准技术细则》中指出</w:t>
      </w:r>
      <w:r>
        <w:rPr>
          <w:lang w:val="en-US"/>
        </w:rPr>
        <w:t>预评价时室外和卧室之间的隔声性能通</w:t>
      </w:r>
      <w:r>
        <w:t>过外窗和外墙的隔声性能</w:t>
      </w:r>
      <w:r>
        <w:rPr>
          <w:rFonts w:hint="eastAsia"/>
        </w:rPr>
        <w:t>，</w:t>
      </w:r>
      <w:r>
        <w:t>按组合隔声量的理论进行预测。</w:t>
      </w:r>
    </w:p>
    <w:p>
      <w:pPr>
        <w:pStyle w:val="2"/>
        <w:ind w:left="669" w:hanging="669"/>
        <w:rPr>
          <w:rFonts w:hint="eastAsia"/>
          <w:kern w:val="2"/>
        </w:rPr>
      </w:pPr>
      <w:bookmarkStart w:id="31" w:name="_Toc28894"/>
      <w:r>
        <w:rPr>
          <w:rFonts w:hint="eastAsia"/>
          <w:kern w:val="2"/>
        </w:rPr>
        <w:t>隔声理论概述</w:t>
      </w:r>
      <w:bookmarkEnd w:id="31"/>
    </w:p>
    <w:p>
      <w:pPr>
        <w:pStyle w:val="3"/>
        <w:tabs>
          <w:tab w:val="right" w:pos="9070"/>
        </w:tabs>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r>
        <w:tab/>
      </w:r>
    </w:p>
    <w:p>
      <w:pPr>
        <w:pStyle w:val="3"/>
        <w:numPr>
          <w:ilvl w:val="0"/>
          <w:numId w:val="5"/>
        </w:numPr>
        <w:rPr>
          <w:rFonts w:hint="eastAsia"/>
        </w:rPr>
      </w:pPr>
      <w:r>
        <w:rPr>
          <w:rFonts w:hint="eastAsia"/>
        </w:rPr>
        <w:t>空气声：声源经过空气向四周传播的噪声，如室外交通噪声。</w:t>
      </w:r>
    </w:p>
    <w:p>
      <w:pPr>
        <w:pStyle w:val="3"/>
        <w:numPr>
          <w:ilvl w:val="0"/>
          <w:numId w:val="5"/>
        </w:numPr>
        <w:rPr>
          <w:rFonts w:hint="eastAsia"/>
        </w:r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pPr>
        <w:jc w:val="center"/>
        <w:rPr>
          <w:rFonts w:hint="eastAsia"/>
          <w:b/>
          <w:i/>
          <w:lang w:val="en-US"/>
        </w:rPr>
      </w:pPr>
      <w:r>
        <w:rPr>
          <w:rFonts w:hint="eastAsia"/>
          <w:sz w:val="21"/>
          <w:szCs w:val="21"/>
          <w:lang w:val="en-US"/>
        </w:rPr>
        <w:t>图</w:t>
      </w:r>
      <w:r>
        <w:rPr>
          <w:sz w:val="21"/>
          <w:szCs w:val="21"/>
          <w:lang w:val="en-US"/>
        </w:rPr>
        <w:t xml:space="preserve">4-1 </w:t>
      </w:r>
      <w:r>
        <w:rPr>
          <w:rFonts w:hint="eastAsia"/>
          <w:sz w:val="21"/>
          <w:szCs w:val="21"/>
          <w:lang w:val="en-US"/>
        </w:rPr>
        <w:t>空气声和撞击声</w:t>
      </w:r>
    </w:p>
    <w:p>
      <w:pPr>
        <w:pStyle w:val="4"/>
        <w:rPr>
          <w:rFonts w:hint="eastAsia"/>
        </w:rPr>
      </w:pPr>
      <w:bookmarkStart w:id="32" w:name="_Toc28844"/>
      <w:r>
        <w:rPr>
          <w:rFonts w:hint="eastAsia"/>
        </w:rPr>
        <w:t>原理概要</w:t>
      </w:r>
      <w:bookmarkEnd w:id="32"/>
    </w:p>
    <w:p>
      <w:pPr>
        <w:pStyle w:val="3"/>
        <w:ind w:firstLine="420" w:firstLineChars="200"/>
        <w:rPr>
          <w:rFonts w:hint="eastAsia"/>
        </w:rPr>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pPr>
        <w:pStyle w:val="3"/>
        <w:spacing w:before="240"/>
        <w:ind w:left="360" w:leftChars="200"/>
        <w:rPr>
          <w:rFonts w:hint="eastAsia"/>
        </w:rPr>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rPr>
          <w:rFonts w:hint="eastAsia"/>
        </w:rPr>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pPr>
        <w:ind w:firstLine="210" w:firstLineChars="100"/>
        <w:rPr>
          <w:rFonts w:hint="eastAsia"/>
          <w:lang w:val="en-US"/>
        </w:rPr>
      </w:pPr>
      <w:r>
        <w:rPr>
          <w:rFonts w:hint="eastAsia"/>
          <w:sz w:val="21"/>
          <w:szCs w:val="21"/>
          <w:lang w:val="en-US"/>
        </w:rPr>
        <w:t>图</w:t>
      </w:r>
      <w:r>
        <w:rPr>
          <w:sz w:val="21"/>
          <w:szCs w:val="21"/>
          <w:lang w:val="en-US"/>
        </w:rPr>
        <w:t xml:space="preserve">4-2  </w:t>
      </w:r>
      <w:r>
        <w:rPr>
          <w:rFonts w:hint="eastAsia"/>
          <w:sz w:val="21"/>
          <w:szCs w:val="21"/>
          <w:lang w:val="en-US"/>
        </w:rPr>
        <w:t xml:space="preserve">单层匀质墙典型隔声频率特性曲线 </w:t>
      </w:r>
      <w:r>
        <w:rPr>
          <w:sz w:val="21"/>
          <w:szCs w:val="21"/>
          <w:lang w:val="en-US"/>
        </w:rPr>
        <w:t xml:space="preserve">         </w:t>
      </w:r>
      <w:r>
        <w:rPr>
          <w:rFonts w:hint="eastAsia"/>
          <w:sz w:val="21"/>
          <w:szCs w:val="21"/>
          <w:lang w:val="en-US"/>
        </w:rPr>
        <w:t>图</w:t>
      </w:r>
      <w:r>
        <w:rPr>
          <w:sz w:val="21"/>
          <w:szCs w:val="21"/>
          <w:lang w:val="en-US"/>
        </w:rPr>
        <w:t>4-3</w:t>
      </w:r>
      <w:r>
        <w:rPr>
          <w:rFonts w:hint="eastAsia"/>
          <w:sz w:val="21"/>
          <w:szCs w:val="21"/>
          <w:lang w:val="en-US"/>
        </w:rPr>
        <w:t>改善多孔材料的隔声特性实例</w:t>
      </w:r>
    </w:p>
    <w:p>
      <w:pPr>
        <w:pStyle w:val="4"/>
        <w:rPr>
          <w:rFonts w:hint="eastAsia"/>
        </w:rPr>
      </w:pPr>
      <w:bookmarkStart w:id="33" w:name="_Toc503800603"/>
      <w:bookmarkStart w:id="34" w:name="_Toc503800668"/>
      <w:bookmarkStart w:id="35" w:name="_Toc503275877"/>
      <w:bookmarkStart w:id="36" w:name="_Toc13568"/>
      <w:r>
        <w:rPr>
          <w:rFonts w:hint="eastAsia"/>
        </w:rPr>
        <w:t>质量定律</w:t>
      </w:r>
      <w:bookmarkEnd w:id="33"/>
      <w:bookmarkEnd w:id="34"/>
      <w:bookmarkEnd w:id="35"/>
      <w:bookmarkEnd w:id="36"/>
    </w:p>
    <w:p>
      <w:pPr>
        <w:pStyle w:val="3"/>
        <w:ind w:firstLine="420" w:firstLineChars="200"/>
        <w:rPr>
          <w:rFonts w:hint="eastAsia"/>
        </w:rPr>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hint="eastAsia"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pPr>
        <w:pStyle w:val="3"/>
        <w:spacing w:before="240"/>
        <w:ind w:left="540" w:leftChars="300"/>
        <w:rPr>
          <w:rFonts w:hint="eastAsia"/>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rPr>
          <w:rFonts w:hint="eastAsia"/>
        </w:rPr>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rPr>
          <w:rFonts w:hint="eastAsia"/>
        </w:rPr>
      </w:pPr>
      <w:r>
        <w:rPr>
          <w:rFonts w:hint="eastAsia" w:ascii="HGB6X_CNKI" w:hAnsi="HGB6X_CNKI" w:eastAsia="HGB6X_CNKI"/>
        </w:rPr>
        <w:t>c</w:t>
      </w:r>
      <w:r>
        <w:rPr>
          <w:rFonts w:hint="eastAsia"/>
        </w:rPr>
        <w:t>——空气中的声速，一般取344 m/s</w:t>
      </w:r>
    </w:p>
    <w:p>
      <w:pPr>
        <w:pStyle w:val="3"/>
        <w:ind w:left="540" w:leftChars="300" w:firstLine="630" w:firstLineChars="300"/>
        <w:rPr>
          <w:rFonts w:hint="eastAsia"/>
        </w:rPr>
      </w:pPr>
      <w:r>
        <w:rPr>
          <w:rFonts w:hint="eastAsia" w:ascii="HGB6X_CNKI" w:hAnsi="HGB6X_CNKI" w:eastAsia="HGB6X_CNKI"/>
        </w:rPr>
        <w:t>f</w:t>
      </w:r>
      <w:r>
        <w:rPr>
          <w:rFonts w:hint="eastAsia"/>
        </w:rPr>
        <w:t>——入射声波的频率，Hz</w:t>
      </w:r>
    </w:p>
    <w:p>
      <w:pPr>
        <w:pStyle w:val="3"/>
        <w:ind w:left="360" w:leftChars="200"/>
        <w:rPr>
          <w:rFonts w:hint="eastAsia"/>
        </w:rPr>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spacing w:before="240"/>
        <w:jc w:val="center"/>
        <w:rPr>
          <w:rFonts w:hint="eastAsia"/>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pPr>
        <w:pStyle w:val="13"/>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pPr>
        <w:jc w:val="center"/>
        <w:rPr>
          <w:rFonts w:hint="eastAsia" w:ascii="宋体" w:hAnsi="宋体"/>
        </w:rPr>
      </w:pPr>
    </w:p>
    <w:p>
      <w:pPr>
        <w:jc w:val="center"/>
        <w:rPr>
          <w:rFonts w:hint="eastAsia"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pPr>
        <w:pStyle w:val="13"/>
        <w:ind w:firstLine="420"/>
        <w:rPr>
          <w:rFonts w:hint="eastAsia"/>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hint="eastAsia"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pPr>
        <w:jc w:val="center"/>
        <w:rPr>
          <w:rFonts w:hint="eastAsia"/>
          <w:sz w:val="21"/>
          <w:szCs w:val="21"/>
          <w:lang w:val="en-US"/>
        </w:rPr>
      </w:pPr>
      <w:r>
        <w:rPr>
          <w:rFonts w:hint="eastAsia"/>
          <w:sz w:val="21"/>
          <w:szCs w:val="21"/>
          <w:lang w:val="en-US"/>
        </w:rPr>
        <w:t>图</w:t>
      </w:r>
      <w:r>
        <w:rPr>
          <w:sz w:val="21"/>
          <w:szCs w:val="21"/>
          <w:lang w:val="en-US"/>
        </w:rPr>
        <w:t xml:space="preserve">4-4  </w:t>
      </w:r>
      <w:r>
        <w:rPr>
          <w:rFonts w:hint="eastAsia"/>
          <w:sz w:val="21"/>
          <w:szCs w:val="21"/>
          <w:lang w:val="en-US"/>
        </w:rPr>
        <w:t>由质量控制的柔性板的隔声量</w:t>
      </w:r>
    </w:p>
    <w:p>
      <w:pPr>
        <w:pStyle w:val="3"/>
        <w:spacing w:before="240"/>
        <w:ind w:firstLine="420" w:firstLineChars="200"/>
        <w:rPr>
          <w:rFonts w:hint="eastAsia"/>
        </w:rPr>
      </w:pPr>
      <w:r>
        <w:rPr>
          <w:rFonts w:hint="eastAsia"/>
        </w:rPr>
        <w:t>由于本式是建立在理论上的许多假定条件下导出的，计算值普遍比实测大，并不符合现场实际情况，所以一般隔声设计中采用经验公式进行隔声量计算。</w:t>
      </w:r>
    </w:p>
    <w:p>
      <w:pPr>
        <w:pStyle w:val="4"/>
        <w:rPr>
          <w:rFonts w:hint="eastAsia"/>
        </w:rPr>
      </w:pPr>
      <w:bookmarkStart w:id="37" w:name="_Toc32704"/>
      <w:r>
        <w:t>隔声</w:t>
      </w:r>
      <w:r>
        <w:rPr>
          <w:rFonts w:hint="eastAsia"/>
        </w:rPr>
        <w:t>量计算经验</w:t>
      </w:r>
      <w:r>
        <w:t>公式</w:t>
      </w:r>
      <w:bookmarkEnd w:id="37"/>
    </w:p>
    <w:p>
      <w:pPr>
        <w:pStyle w:val="3"/>
        <w:ind w:firstLine="420" w:firstLineChars="20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rPr>
          <w:rFonts w:hint="eastAsia"/>
        </w:rPr>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rPr>
          <w:rFonts w:hint="eastAsia"/>
        </w:rP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spacing w:before="240"/>
        <w:ind w:firstLine="420" w:firstLineChars="200"/>
        <w:jc w:val="center"/>
        <w:rPr>
          <w:rFonts w:hint="eastAsia"/>
        </w:rPr>
      </w:pPr>
      <w:r>
        <w:rPr>
          <w:lang w:val="en-US"/>
        </w:rPr>
        <w:drawing>
          <wp:inline distT="0" distB="0" distL="0" distR="0">
            <wp:extent cx="3811270" cy="32099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3840085" cy="3234045"/>
                    </a:xfrm>
                    <a:prstGeom prst="rect">
                      <a:avLst/>
                    </a:prstGeom>
                  </pic:spPr>
                </pic:pic>
              </a:graphicData>
            </a:graphic>
          </wp:inline>
        </w:drawing>
      </w:r>
    </w:p>
    <w:p>
      <w:pPr>
        <w:jc w:val="center"/>
        <w:rPr>
          <w:rFonts w:hint="eastAsia"/>
          <w:sz w:val="21"/>
          <w:szCs w:val="21"/>
          <w:lang w:val="en-US"/>
        </w:rPr>
      </w:pPr>
      <w:r>
        <w:rPr>
          <w:rFonts w:hint="eastAsia"/>
          <w:sz w:val="21"/>
          <w:szCs w:val="21"/>
          <w:lang w:val="en-US"/>
        </w:rPr>
        <w:t>图4-5构件500</w:t>
      </w:r>
      <w:r>
        <w:rPr>
          <w:sz w:val="21"/>
          <w:szCs w:val="21"/>
          <w:lang w:val="en-US"/>
        </w:rPr>
        <w:t>H</w:t>
      </w:r>
      <w:r>
        <w:rPr>
          <w:rFonts w:hint="eastAsia"/>
          <w:sz w:val="21"/>
          <w:szCs w:val="21"/>
          <w:lang w:val="en-US"/>
        </w:rPr>
        <w:t>z隔声曲线</w:t>
      </w:r>
    </w:p>
    <w:p>
      <w:pPr>
        <w:pStyle w:val="3"/>
        <w:spacing w:before="240"/>
        <w:ind w:firstLine="420" w:firstLineChars="20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rPr>
          <w:rFonts w:hint="eastAsia"/>
        </w:rPr>
      </w:pPr>
      <w:bookmarkStart w:id="38" w:name="_Toc28538"/>
      <w:r>
        <w:rPr>
          <w:rFonts w:hint="eastAsia"/>
        </w:rPr>
        <w:t>单值评价量</w:t>
      </w:r>
      <w:bookmarkEnd w:id="38"/>
    </w:p>
    <w:p>
      <w:pPr>
        <w:pStyle w:val="3"/>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rPr>
          <w:rFonts w:hint="eastAsia"/>
        </w:rPr>
      </w:pPr>
      <w:r>
        <w:rPr>
          <w:rFonts w:hint="eastAsia"/>
        </w:rPr>
        <w:t>计权隔声量是表征构件空气声隔声性能的单值评价量，满足不利偏差Pi要求的最大值即为空</w:t>
      </w:r>
      <w:r>
        <w:rPr>
          <w:rFonts w:hint="eastAsia"/>
          <w:kern w:val="2"/>
          <w:lang w:val="en-US"/>
        </w:rPr>
        <w:t>气声隔声计权单值评价量</w:t>
      </w:r>
      <w:r>
        <w:rPr>
          <w:rFonts w:hint="eastAsia"/>
        </w:rPr>
        <w:t>，精确到1dB。</w:t>
      </w:r>
    </w:p>
    <w:p>
      <w:pPr>
        <w:pStyle w:val="3"/>
        <w:numPr>
          <w:ilvl w:val="0"/>
          <w:numId w:val="6"/>
        </w:numPr>
        <w:rPr>
          <w:rFonts w:hint="eastAsia"/>
          <w:kern w:val="2"/>
          <w:szCs w:val="24"/>
          <w:lang w:val="en-US"/>
        </w:rPr>
      </w:pPr>
      <w:r>
        <w:rPr>
          <w:rFonts w:hint="eastAsia"/>
        </w:rPr>
        <w:t>可采用公式法求得：</w:t>
      </w:r>
    </w:p>
    <w:p>
      <w:pPr>
        <w:pStyle w:val="3"/>
        <w:spacing w:before="240"/>
        <w:ind w:right="180"/>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rFonts w:hint="eastAsia"/>
          <w:sz w:val="20"/>
          <w:szCs w:val="21"/>
        </w:rPr>
      </w:pPr>
      <w:r>
        <w:rPr>
          <w:rFonts w:hint="eastAsia"/>
          <w:sz w:val="20"/>
          <w:szCs w:val="21"/>
        </w:rPr>
        <w:t>式中：</w:t>
      </w:r>
      <w:r>
        <w:rPr>
          <w:position w:val="-12"/>
          <w:sz w:val="20"/>
          <w:szCs w:val="21"/>
        </w:rPr>
        <w:object>
          <v:shape id="_x0000_i1031" o:spt="75" type="#_x0000_t75" style="height:16.9pt;width:16.9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pPr>
        <w:ind w:left="360" w:leftChars="200" w:firstLine="1000" w:firstLineChars="500"/>
        <w:rPr>
          <w:rFonts w:hint="eastAsia"/>
          <w:sz w:val="20"/>
          <w:szCs w:val="21"/>
        </w:rPr>
      </w:pPr>
      <w:r>
        <w:rPr>
          <w:position w:val="-12"/>
          <w:sz w:val="20"/>
          <w:szCs w:val="21"/>
        </w:rPr>
        <w:object>
          <v:shape id="_x0000_i1032" o:spt="75" type="#_x0000_t75" style="height:16.9pt;width:10.3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pPr>
        <w:ind w:left="360" w:leftChars="200" w:firstLine="1000" w:firstLineChars="500"/>
        <w:rPr>
          <w:rFonts w:hint="eastAsia"/>
          <w:sz w:val="20"/>
          <w:szCs w:val="21"/>
        </w:rPr>
      </w:pPr>
      <w:r>
        <w:rPr>
          <w:position w:val="-12"/>
          <w:sz w:val="20"/>
          <w:szCs w:val="21"/>
        </w:rPr>
        <w:object>
          <v:shape id="_x0000_i1033" o:spt="75" type="#_x0000_t75" style="height:14.75pt;width:10.3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rFonts w:hint="eastAsia"/>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rPr>
          <w:rFonts w:hint="eastAsia"/>
        </w:rPr>
      </w:pPr>
    </w:p>
    <w:p>
      <w:pPr>
        <w:pStyle w:val="3"/>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pPr>
        <w:pStyle w:val="3"/>
        <w:jc w:val="center"/>
        <w:rPr>
          <w:rFonts w:hint="eastAsia"/>
        </w:rPr>
      </w:pPr>
    </w:p>
    <w:p>
      <w:pPr>
        <w:pStyle w:val="3"/>
        <w:jc w:val="center"/>
        <w:rPr>
          <w:rFonts w:hint="eastAsia"/>
        </w:rP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rFonts w:hint="eastAsia"/>
          <w:kern w:val="2"/>
          <w:sz w:val="20"/>
          <w:lang w:val="en-US"/>
        </w:rPr>
      </w:pPr>
      <w:r>
        <w:rPr>
          <w:rFonts w:hint="eastAsia"/>
          <w:kern w:val="2"/>
          <w:sz w:val="20"/>
          <w:lang w:val="en-US"/>
        </w:rPr>
        <w:t>式中：</w:t>
      </w:r>
      <w:r>
        <w:rPr>
          <w:position w:val="-12"/>
          <w:sz w:val="20"/>
        </w:rPr>
        <w:object>
          <v:shape id="_x0000_i1034" o:spt="75" type="#_x0000_t75" style="height:16.9pt;width:19.1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rFonts w:hint="eastAsia"/>
          <w:kern w:val="2"/>
          <w:sz w:val="20"/>
          <w:lang w:val="en-US"/>
        </w:rPr>
      </w:pPr>
      <w:r>
        <w:rPr>
          <w:position w:val="-12"/>
          <w:sz w:val="20"/>
        </w:rPr>
        <w:object>
          <v:shape id="_x0000_i1035" o:spt="75" type="#_x0000_t75" style="height:16.9pt;width:12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rFonts w:hint="eastAsia"/>
          <w:sz w:val="21"/>
          <w:szCs w:val="21"/>
          <w:lang w:val="en-US"/>
        </w:rPr>
      </w:pPr>
      <w:r>
        <w:rPr>
          <w:rFonts w:hint="eastAsia"/>
          <w:sz w:val="21"/>
          <w:szCs w:val="21"/>
          <w:lang w:val="en-US"/>
        </w:rPr>
        <w:t>表</w:t>
      </w:r>
      <w:r>
        <w:rPr>
          <w:sz w:val="21"/>
          <w:szCs w:val="21"/>
          <w:lang w:val="en-US"/>
        </w:rPr>
        <w:t xml:space="preserve">4.1 </w:t>
      </w:r>
      <w:r>
        <w:rPr>
          <w:rFonts w:hint="eastAsia"/>
          <w:sz w:val="21"/>
          <w:szCs w:val="21"/>
          <w:lang w:val="en-US"/>
        </w:rPr>
        <w:t>各频带基准值Ki</w:t>
      </w:r>
      <w:r>
        <w:rPr>
          <w:sz w:val="21"/>
          <w:szCs w:val="21"/>
          <w:lang w:val="en-US"/>
        </w:rPr>
        <w:t xml:space="preserve">                       </w:t>
      </w:r>
      <w:r>
        <w:rPr>
          <w:rFonts w:hint="eastAsia"/>
          <w:sz w:val="21"/>
          <w:szCs w:val="21"/>
          <w:lang w:val="en-US"/>
        </w:rPr>
        <w:t>单位：</w:t>
      </w:r>
      <w:r>
        <w:rPr>
          <w:sz w:val="21"/>
          <w:szCs w:val="21"/>
          <w:lang w:val="en-US"/>
        </w:rPr>
        <w:t>dB</w:t>
      </w:r>
    </w:p>
    <w:tbl>
      <w:tblPr>
        <w:tblStyle w:val="22"/>
        <w:tblW w:w="937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hint="eastAsia"/>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rFonts w:hint="eastAsia"/>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rFonts w:hint="eastAsia"/>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rFonts w:hint="eastAsia"/>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rFonts w:hint="eastAsia"/>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rFonts w:hint="eastAsia"/>
                <w:sz w:val="21"/>
                <w:szCs w:val="21"/>
              </w:rPr>
            </w:pPr>
            <w:r>
              <w:rPr>
                <w:rFonts w:hint="eastAsia"/>
                <w:sz w:val="21"/>
                <w:szCs w:val="21"/>
              </w:rPr>
              <w:t>2000</w:t>
            </w:r>
            <w:r>
              <w:rPr>
                <w:sz w:val="21"/>
                <w:szCs w:val="21"/>
              </w:rPr>
              <w:t xml:space="preserve"> 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hint="eastAsia"/>
                <w:sz w:val="21"/>
                <w:szCs w:val="21"/>
              </w:rPr>
            </w:pPr>
            <w:r>
              <w:rPr>
                <w:rFonts w:hint="eastAsia"/>
                <w:sz w:val="21"/>
                <w:szCs w:val="21"/>
              </w:rPr>
              <w:t>空气声基准值</w:t>
            </w:r>
          </w:p>
        </w:tc>
        <w:tc>
          <w:tcPr>
            <w:tcW w:w="1416" w:type="dxa"/>
            <w:vAlign w:val="center"/>
          </w:tcPr>
          <w:p>
            <w:pPr>
              <w:spacing w:line="360" w:lineRule="exact"/>
              <w:jc w:val="center"/>
              <w:rPr>
                <w:rFonts w:hint="eastAsia"/>
                <w:sz w:val="21"/>
                <w:szCs w:val="21"/>
              </w:rPr>
            </w:pPr>
            <w:r>
              <w:rPr>
                <w:rFonts w:hint="eastAsia"/>
                <w:sz w:val="21"/>
                <w:szCs w:val="21"/>
              </w:rPr>
              <w:t>-16</w:t>
            </w:r>
          </w:p>
        </w:tc>
        <w:tc>
          <w:tcPr>
            <w:tcW w:w="1416" w:type="dxa"/>
            <w:vAlign w:val="center"/>
          </w:tcPr>
          <w:p>
            <w:pPr>
              <w:spacing w:line="360" w:lineRule="exact"/>
              <w:jc w:val="center"/>
              <w:rPr>
                <w:rFonts w:hint="eastAsia"/>
                <w:sz w:val="21"/>
                <w:szCs w:val="21"/>
              </w:rPr>
            </w:pPr>
            <w:r>
              <w:rPr>
                <w:rFonts w:hint="eastAsia"/>
                <w:sz w:val="21"/>
                <w:szCs w:val="21"/>
              </w:rPr>
              <w:t>-7</w:t>
            </w:r>
          </w:p>
        </w:tc>
        <w:tc>
          <w:tcPr>
            <w:tcW w:w="1416" w:type="dxa"/>
            <w:vAlign w:val="center"/>
          </w:tcPr>
          <w:p>
            <w:pPr>
              <w:spacing w:line="360" w:lineRule="exact"/>
              <w:jc w:val="center"/>
              <w:rPr>
                <w:rFonts w:hint="eastAsia"/>
                <w:sz w:val="21"/>
                <w:szCs w:val="21"/>
              </w:rPr>
            </w:pPr>
            <w:r>
              <w:rPr>
                <w:rFonts w:hint="eastAsia"/>
                <w:sz w:val="21"/>
                <w:szCs w:val="21"/>
              </w:rPr>
              <w:t>0</w:t>
            </w:r>
          </w:p>
        </w:tc>
        <w:tc>
          <w:tcPr>
            <w:tcW w:w="1416" w:type="dxa"/>
            <w:vAlign w:val="center"/>
          </w:tcPr>
          <w:p>
            <w:pPr>
              <w:spacing w:line="360" w:lineRule="exact"/>
              <w:jc w:val="center"/>
              <w:rPr>
                <w:rFonts w:hint="eastAsia"/>
                <w:sz w:val="21"/>
                <w:szCs w:val="21"/>
              </w:rPr>
            </w:pPr>
            <w:r>
              <w:rPr>
                <w:rFonts w:hint="eastAsia"/>
                <w:sz w:val="21"/>
                <w:szCs w:val="21"/>
              </w:rPr>
              <w:t>3</w:t>
            </w:r>
          </w:p>
        </w:tc>
        <w:tc>
          <w:tcPr>
            <w:tcW w:w="1418" w:type="dxa"/>
            <w:vAlign w:val="center"/>
          </w:tcPr>
          <w:p>
            <w:pPr>
              <w:spacing w:line="360" w:lineRule="exact"/>
              <w:jc w:val="center"/>
              <w:rPr>
                <w:rFonts w:hint="eastAsia"/>
                <w:sz w:val="21"/>
                <w:szCs w:val="21"/>
              </w:rPr>
            </w:pPr>
            <w:r>
              <w:rPr>
                <w:rFonts w:hint="eastAsia"/>
                <w:sz w:val="21"/>
                <w:szCs w:val="21"/>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hint="eastAsia"/>
                <w:sz w:val="21"/>
                <w:szCs w:val="21"/>
              </w:rPr>
            </w:pPr>
            <w:r>
              <w:rPr>
                <w:rFonts w:hint="eastAsia"/>
                <w:sz w:val="21"/>
                <w:szCs w:val="21"/>
              </w:rPr>
              <w:t>撞击声基准值</w:t>
            </w:r>
          </w:p>
        </w:tc>
        <w:tc>
          <w:tcPr>
            <w:tcW w:w="1416" w:type="dxa"/>
            <w:vAlign w:val="center"/>
          </w:tcPr>
          <w:p>
            <w:pPr>
              <w:spacing w:line="360" w:lineRule="exact"/>
              <w:jc w:val="center"/>
              <w:rPr>
                <w:rFonts w:hint="eastAsia"/>
                <w:sz w:val="21"/>
                <w:szCs w:val="21"/>
              </w:rPr>
            </w:pPr>
            <w:r>
              <w:rPr>
                <w:rFonts w:hint="eastAsia"/>
                <w:sz w:val="21"/>
                <w:szCs w:val="21"/>
                <w:lang w:val="en-US"/>
              </w:rPr>
              <w:t>2</w:t>
            </w:r>
          </w:p>
        </w:tc>
        <w:tc>
          <w:tcPr>
            <w:tcW w:w="1416" w:type="dxa"/>
            <w:vAlign w:val="center"/>
          </w:tcPr>
          <w:p>
            <w:pPr>
              <w:spacing w:line="360" w:lineRule="exact"/>
              <w:jc w:val="center"/>
              <w:rPr>
                <w:rFonts w:hint="eastAsia"/>
                <w:sz w:val="21"/>
                <w:szCs w:val="21"/>
              </w:rPr>
            </w:pPr>
            <w:r>
              <w:rPr>
                <w:rFonts w:hint="eastAsia"/>
                <w:sz w:val="21"/>
                <w:szCs w:val="21"/>
                <w:lang w:val="en-US"/>
              </w:rPr>
              <w:t>2</w:t>
            </w:r>
          </w:p>
        </w:tc>
        <w:tc>
          <w:tcPr>
            <w:tcW w:w="1416" w:type="dxa"/>
            <w:vAlign w:val="center"/>
          </w:tcPr>
          <w:p>
            <w:pPr>
              <w:spacing w:line="360" w:lineRule="exact"/>
              <w:jc w:val="center"/>
              <w:rPr>
                <w:rFonts w:hint="eastAsia"/>
                <w:sz w:val="21"/>
                <w:szCs w:val="21"/>
              </w:rPr>
            </w:pPr>
            <w:r>
              <w:rPr>
                <w:rFonts w:hint="eastAsia"/>
                <w:sz w:val="21"/>
                <w:szCs w:val="21"/>
                <w:lang w:val="en-US"/>
              </w:rPr>
              <w:t>0</w:t>
            </w:r>
          </w:p>
        </w:tc>
        <w:tc>
          <w:tcPr>
            <w:tcW w:w="1416" w:type="dxa"/>
            <w:vAlign w:val="center"/>
          </w:tcPr>
          <w:p>
            <w:pPr>
              <w:spacing w:line="360" w:lineRule="exact"/>
              <w:jc w:val="center"/>
              <w:rPr>
                <w:rFonts w:hint="eastAsia"/>
                <w:sz w:val="21"/>
                <w:szCs w:val="21"/>
              </w:rPr>
            </w:pPr>
            <w:r>
              <w:rPr>
                <w:rFonts w:hint="eastAsia"/>
                <w:sz w:val="21"/>
                <w:szCs w:val="21"/>
                <w:lang w:val="en-US"/>
              </w:rPr>
              <w:t>-3</w:t>
            </w:r>
          </w:p>
        </w:tc>
        <w:tc>
          <w:tcPr>
            <w:tcW w:w="1418" w:type="dxa"/>
            <w:vAlign w:val="center"/>
          </w:tcPr>
          <w:p>
            <w:pPr>
              <w:spacing w:line="360" w:lineRule="exact"/>
              <w:jc w:val="center"/>
              <w:rPr>
                <w:rFonts w:hint="eastAsia"/>
                <w:sz w:val="21"/>
                <w:szCs w:val="21"/>
              </w:rPr>
            </w:pPr>
            <w:r>
              <w:rPr>
                <w:rFonts w:hint="eastAsia"/>
                <w:sz w:val="21"/>
                <w:szCs w:val="21"/>
                <w:lang w:val="en-US"/>
              </w:rPr>
              <w:t>-16</w:t>
            </w:r>
          </w:p>
        </w:tc>
      </w:tr>
    </w:tbl>
    <w:p>
      <w:pPr>
        <w:pStyle w:val="4"/>
        <w:rPr>
          <w:rFonts w:hint="eastAsia"/>
        </w:rPr>
      </w:pPr>
      <w:bookmarkStart w:id="39" w:name="_Toc10953"/>
      <w:r>
        <w:rPr>
          <w:rFonts w:hint="eastAsia"/>
        </w:rPr>
        <w:t>频谱修正量</w:t>
      </w:r>
      <w:bookmarkEnd w:id="39"/>
    </w:p>
    <w:p>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rFonts w:hint="eastAsia"/>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pPr>
        <w:pStyle w:val="3"/>
        <w:ind w:firstLine="420" w:firstLineChars="200"/>
        <w:rPr>
          <w:rFonts w:hint="eastAsia"/>
          <w:lang w:val="en-US"/>
        </w:rPr>
      </w:pPr>
    </w:p>
    <w:p>
      <w:pPr>
        <w:pStyle w:val="3"/>
        <w:ind w:left="900" w:leftChars="500"/>
        <w:jc w:val="left"/>
        <w:rPr>
          <w:rFonts w:hint="eastAsia"/>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rFonts w:hint="eastAsia"/>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rFonts w:hint="eastAsia"/>
          <w:sz w:val="20"/>
          <w:szCs w:val="20"/>
          <w:lang w:val="en-US"/>
        </w:rPr>
      </w:pPr>
      <w:r>
        <w:rPr>
          <w:rFonts w:hint="eastAsia"/>
          <w:i/>
          <w:sz w:val="20"/>
          <w:szCs w:val="20"/>
          <w:lang w:val="en-US"/>
        </w:rPr>
        <w:t>i</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rFonts w:hint="eastAsia"/>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rFonts w:hint="eastAsia"/>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rFonts w:hint="eastAsia"/>
          <w:lang w:val="en-US"/>
        </w:rPr>
      </w:pPr>
      <w:r>
        <w:rPr>
          <w:rFonts w:hint="eastAsia"/>
          <w:lang w:val="en-US"/>
        </w:rPr>
        <w:t>频谱修正量在计算时应精确到0.1dB，得出的结果应修约为整数。</w:t>
      </w:r>
    </w:p>
    <w:p>
      <w:pPr>
        <w:spacing w:before="240"/>
        <w:jc w:val="right"/>
        <w:rPr>
          <w:rFonts w:hint="eastAsia"/>
          <w:lang w:val="en-US"/>
        </w:rPr>
      </w:pPr>
      <w:r>
        <w:rPr>
          <w:rFonts w:hint="eastAsia"/>
          <w:sz w:val="21"/>
          <w:szCs w:val="21"/>
          <w:lang w:val="en-US"/>
        </w:rPr>
        <w:t>表</w:t>
      </w:r>
      <w:r>
        <w:rPr>
          <w:sz w:val="21"/>
          <w:szCs w:val="21"/>
          <w:lang w:val="en-US"/>
        </w:rPr>
        <w:t xml:space="preserve">4.2  </w:t>
      </w:r>
      <w:r>
        <w:rPr>
          <w:rFonts w:hint="eastAsia"/>
          <w:sz w:val="21"/>
          <w:szCs w:val="21"/>
          <w:lang w:val="en-US"/>
        </w:rPr>
        <w:t>计算频谱修正量的声压级频谱</w:t>
      </w:r>
      <w:r>
        <w:rPr>
          <w:sz w:val="21"/>
          <w:szCs w:val="21"/>
          <w:lang w:val="en-US"/>
        </w:rPr>
        <w:t xml:space="preserve">               </w:t>
      </w:r>
      <w:r>
        <w:rPr>
          <w:rFonts w:hint="eastAsia"/>
          <w:sz w:val="21"/>
          <w:szCs w:val="21"/>
          <w:lang w:val="en-US"/>
        </w:rPr>
        <w:t>单位：</w:t>
      </w:r>
      <w:r>
        <w:rPr>
          <w:sz w:val="21"/>
          <w:szCs w:val="21"/>
          <w:lang w:val="en-US"/>
        </w:rPr>
        <w:t>dB</w:t>
      </w:r>
    </w:p>
    <w:tbl>
      <w:tblPr>
        <w:tblStyle w:val="22"/>
        <w:tblW w:w="9116"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rFonts w:hint="eastAsia"/>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rFonts w:hint="eastAsia"/>
                <w:lang w:val="en-US"/>
              </w:rPr>
            </w:pPr>
            <w:r>
              <w:rPr>
                <w:color w:val="000000"/>
              </w:rPr>
              <w:t>125 Hz</w:t>
            </w:r>
          </w:p>
        </w:tc>
        <w:tc>
          <w:tcPr>
            <w:tcW w:w="1228" w:type="dxa"/>
            <w:shd w:val="clear" w:color="auto" w:fill="D9D9D9"/>
            <w:vAlign w:val="center"/>
          </w:tcPr>
          <w:p>
            <w:pPr>
              <w:pStyle w:val="3"/>
              <w:spacing w:line="360" w:lineRule="exact"/>
              <w:jc w:val="center"/>
              <w:rPr>
                <w:rFonts w:hint="eastAsia"/>
                <w:lang w:val="en-US"/>
              </w:rPr>
            </w:pPr>
            <w:r>
              <w:rPr>
                <w:color w:val="000000"/>
              </w:rPr>
              <w:t>250 Hz</w:t>
            </w:r>
          </w:p>
        </w:tc>
        <w:tc>
          <w:tcPr>
            <w:tcW w:w="1228" w:type="dxa"/>
            <w:shd w:val="clear" w:color="auto" w:fill="D9D9D9"/>
            <w:vAlign w:val="center"/>
          </w:tcPr>
          <w:p>
            <w:pPr>
              <w:pStyle w:val="3"/>
              <w:spacing w:line="360" w:lineRule="exact"/>
              <w:jc w:val="center"/>
              <w:rPr>
                <w:rFonts w:hint="eastAsia"/>
                <w:lang w:val="en-US"/>
              </w:rPr>
            </w:pPr>
            <w:r>
              <w:rPr>
                <w:color w:val="000000"/>
              </w:rPr>
              <w:t>500 Hz</w:t>
            </w:r>
          </w:p>
        </w:tc>
        <w:tc>
          <w:tcPr>
            <w:tcW w:w="1228" w:type="dxa"/>
            <w:shd w:val="clear" w:color="auto" w:fill="D9D9D9"/>
            <w:vAlign w:val="center"/>
          </w:tcPr>
          <w:p>
            <w:pPr>
              <w:pStyle w:val="3"/>
              <w:spacing w:line="360" w:lineRule="exact"/>
              <w:jc w:val="center"/>
              <w:rPr>
                <w:rFonts w:hint="eastAsia"/>
                <w:lang w:val="en-US"/>
              </w:rPr>
            </w:pPr>
            <w:r>
              <w:rPr>
                <w:color w:val="000000"/>
              </w:rPr>
              <w:t>1000 Hz</w:t>
            </w:r>
          </w:p>
        </w:tc>
        <w:tc>
          <w:tcPr>
            <w:tcW w:w="1228" w:type="dxa"/>
            <w:shd w:val="clear" w:color="auto" w:fill="D9D9D9"/>
            <w:vAlign w:val="center"/>
          </w:tcPr>
          <w:p>
            <w:pPr>
              <w:pStyle w:val="3"/>
              <w:spacing w:line="360" w:lineRule="exact"/>
              <w:jc w:val="center"/>
              <w:rPr>
                <w:rFonts w:hint="eastAsia"/>
                <w:lang w:val="en-US"/>
              </w:rPr>
            </w:pPr>
            <w:r>
              <w:rPr>
                <w:color w:val="000000"/>
              </w:rPr>
              <w:t>2000 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rFonts w:hint="eastAsia"/>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rFonts w:hint="eastAsia"/>
                <w:color w:val="000000"/>
              </w:rPr>
            </w:pPr>
            <w:r>
              <w:rPr>
                <w:color w:val="000000"/>
              </w:rPr>
              <w:t>-21</w:t>
            </w:r>
          </w:p>
        </w:tc>
        <w:tc>
          <w:tcPr>
            <w:tcW w:w="1228" w:type="dxa"/>
            <w:vAlign w:val="center"/>
          </w:tcPr>
          <w:p>
            <w:pPr>
              <w:pStyle w:val="3"/>
              <w:spacing w:line="360" w:lineRule="exact"/>
              <w:jc w:val="center"/>
              <w:rPr>
                <w:rFonts w:hint="eastAsia"/>
                <w:color w:val="000000"/>
              </w:rPr>
            </w:pPr>
            <w:r>
              <w:rPr>
                <w:color w:val="000000"/>
              </w:rPr>
              <w:t>-14</w:t>
            </w:r>
          </w:p>
        </w:tc>
        <w:tc>
          <w:tcPr>
            <w:tcW w:w="1228" w:type="dxa"/>
            <w:vAlign w:val="center"/>
          </w:tcPr>
          <w:p>
            <w:pPr>
              <w:pStyle w:val="3"/>
              <w:spacing w:line="360" w:lineRule="exact"/>
              <w:jc w:val="center"/>
              <w:rPr>
                <w:rFonts w:hint="eastAsia"/>
                <w:color w:val="000000"/>
              </w:rPr>
            </w:pPr>
            <w:r>
              <w:rPr>
                <w:color w:val="000000"/>
              </w:rPr>
              <w:t>-8</w:t>
            </w:r>
          </w:p>
        </w:tc>
        <w:tc>
          <w:tcPr>
            <w:tcW w:w="1228" w:type="dxa"/>
            <w:vAlign w:val="center"/>
          </w:tcPr>
          <w:p>
            <w:pPr>
              <w:pStyle w:val="3"/>
              <w:spacing w:line="360" w:lineRule="exact"/>
              <w:jc w:val="center"/>
              <w:rPr>
                <w:rFonts w:hint="eastAsia"/>
                <w:color w:val="000000"/>
              </w:rPr>
            </w:pPr>
            <w:r>
              <w:rPr>
                <w:color w:val="000000"/>
              </w:rPr>
              <w:t>-5</w:t>
            </w:r>
          </w:p>
        </w:tc>
        <w:tc>
          <w:tcPr>
            <w:tcW w:w="1228" w:type="dxa"/>
            <w:vAlign w:val="center"/>
          </w:tcPr>
          <w:p>
            <w:pPr>
              <w:pStyle w:val="3"/>
              <w:spacing w:line="360" w:lineRule="exact"/>
              <w:jc w:val="center"/>
              <w:rPr>
                <w:rFonts w:hint="eastAsia"/>
                <w:color w:val="000000"/>
              </w:rPr>
            </w:pPr>
            <w:r>
              <w:rPr>
                <w:color w:val="000000"/>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rFonts w:hint="eastAsia"/>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rFonts w:hint="eastAsia"/>
                <w:color w:val="000000"/>
              </w:rPr>
            </w:pPr>
            <w:r>
              <w:rPr>
                <w:color w:val="000000"/>
              </w:rPr>
              <w:t>-14</w:t>
            </w:r>
          </w:p>
        </w:tc>
        <w:tc>
          <w:tcPr>
            <w:tcW w:w="1228" w:type="dxa"/>
            <w:vAlign w:val="center"/>
          </w:tcPr>
          <w:p>
            <w:pPr>
              <w:pStyle w:val="3"/>
              <w:spacing w:line="360" w:lineRule="exact"/>
              <w:jc w:val="center"/>
              <w:rPr>
                <w:rFonts w:hint="eastAsia"/>
                <w:color w:val="000000"/>
              </w:rPr>
            </w:pPr>
            <w:r>
              <w:rPr>
                <w:color w:val="000000"/>
              </w:rPr>
              <w:t>-10</w:t>
            </w:r>
          </w:p>
        </w:tc>
        <w:tc>
          <w:tcPr>
            <w:tcW w:w="1228" w:type="dxa"/>
            <w:vAlign w:val="center"/>
          </w:tcPr>
          <w:p>
            <w:pPr>
              <w:pStyle w:val="3"/>
              <w:spacing w:line="360" w:lineRule="exact"/>
              <w:jc w:val="center"/>
              <w:rPr>
                <w:rFonts w:hint="eastAsia"/>
                <w:color w:val="000000"/>
              </w:rPr>
            </w:pPr>
            <w:r>
              <w:rPr>
                <w:color w:val="000000"/>
              </w:rPr>
              <w:t>-7</w:t>
            </w:r>
          </w:p>
        </w:tc>
        <w:tc>
          <w:tcPr>
            <w:tcW w:w="1228" w:type="dxa"/>
            <w:vAlign w:val="center"/>
          </w:tcPr>
          <w:p>
            <w:pPr>
              <w:pStyle w:val="3"/>
              <w:spacing w:line="360" w:lineRule="exact"/>
              <w:jc w:val="center"/>
              <w:rPr>
                <w:rFonts w:hint="eastAsia"/>
                <w:color w:val="000000"/>
              </w:rPr>
            </w:pPr>
            <w:r>
              <w:rPr>
                <w:color w:val="000000"/>
              </w:rPr>
              <w:t>-4</w:t>
            </w:r>
          </w:p>
        </w:tc>
        <w:tc>
          <w:tcPr>
            <w:tcW w:w="1228" w:type="dxa"/>
            <w:vAlign w:val="center"/>
          </w:tcPr>
          <w:p>
            <w:pPr>
              <w:pStyle w:val="3"/>
              <w:spacing w:line="360" w:lineRule="exact"/>
              <w:jc w:val="center"/>
              <w:rPr>
                <w:rFonts w:hint="eastAsia"/>
                <w:color w:val="000000"/>
              </w:rPr>
            </w:pPr>
            <w:r>
              <w:rPr>
                <w:color w:val="000000"/>
              </w:rPr>
              <w:t>-6</w:t>
            </w:r>
          </w:p>
        </w:tc>
      </w:tr>
    </w:tbl>
    <w:p>
      <w:pPr>
        <w:pStyle w:val="3"/>
        <w:ind w:firstLine="420" w:firstLineChars="200"/>
        <w:rPr>
          <w:rFonts w:hint="eastAsia"/>
          <w:lang w:val="en-US"/>
        </w:rPr>
      </w:pPr>
    </w:p>
    <w:p>
      <w:pPr>
        <w:ind w:firstLine="480"/>
        <w:jc w:val="center"/>
        <w:rPr>
          <w:rFonts w:hint="eastAsia" w:ascii="宋体" w:hAnsi="宋体"/>
        </w:rPr>
      </w:pPr>
    </w:p>
    <w:p>
      <w:pPr>
        <w:pStyle w:val="2"/>
        <w:ind w:left="669" w:hanging="669"/>
        <w:rPr>
          <w:rFonts w:hint="eastAsia"/>
        </w:rPr>
      </w:pPr>
      <w:bookmarkStart w:id="40" w:name="_Toc10774"/>
      <w:r>
        <w:rPr>
          <w:rFonts w:hint="eastAsia"/>
        </w:rPr>
        <w:t>构件空气声隔声性能</w:t>
      </w:r>
      <w:bookmarkEnd w:id="40"/>
    </w:p>
    <w:p>
      <w:pPr>
        <w:pStyle w:val="4"/>
        <w:rPr>
          <w:rFonts w:hint="eastAsia"/>
        </w:rPr>
      </w:pPr>
      <w:bookmarkStart w:id="41" w:name="_Toc26223"/>
      <w:r>
        <w:rPr>
          <w:rFonts w:hint="eastAsia"/>
        </w:rPr>
        <w:t>墙板的空气声隔声量</w:t>
      </w:r>
      <w:bookmarkEnd w:id="41"/>
    </w:p>
    <w:p>
      <w:pPr>
        <w:pStyle w:val="5"/>
        <w:rPr>
          <w:rFonts w:hint="eastAsia"/>
        </w:rPr>
      </w:pPr>
      <w:bookmarkStart w:id="42" w:name="_Toc22742"/>
      <w:r>
        <w:rPr>
          <w:rFonts w:hint="eastAsia"/>
        </w:rPr>
        <w:t>墙板构造做法</w:t>
      </w:r>
      <w:bookmarkEnd w:id="42"/>
    </w:p>
    <w:p>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rPr>
          <w:rFonts w:hint="eastAsia"/>
        </w:rPr>
      </w:pPr>
      <w:r>
        <w:rPr>
          <w:rFonts w:hint="eastAsia"/>
        </w:rPr>
        <w:t>本项目</w:t>
      </w:r>
      <w:r>
        <w:t>中</w:t>
      </w:r>
      <w:r>
        <w:rPr>
          <w:rFonts w:hint="eastAsia"/>
        </w:rPr>
        <w:t>建筑围护结构详细信息可见下表：</w:t>
      </w:r>
    </w:p>
    <w:p>
      <w:pPr>
        <w:spacing w:before="240"/>
        <w:jc w:val="center"/>
        <w:rPr>
          <w:rFonts w:hint="eastAsia"/>
          <w:sz w:val="21"/>
          <w:szCs w:val="21"/>
          <w:lang w:val="en-US"/>
        </w:rPr>
      </w:pPr>
      <w:r>
        <w:rPr>
          <w:rFonts w:hint="eastAsia"/>
          <w:sz w:val="21"/>
          <w:szCs w:val="21"/>
          <w:lang w:val="en-US"/>
        </w:rPr>
        <w:t>表</w:t>
      </w:r>
      <w:r>
        <w:rPr>
          <w:sz w:val="21"/>
          <w:szCs w:val="21"/>
          <w:lang w:val="en-US"/>
        </w:rPr>
        <w:t xml:space="preserve">5.1  </w:t>
      </w:r>
      <w:r>
        <w:rPr>
          <w:rFonts w:hint="eastAsia"/>
          <w:sz w:val="21"/>
          <w:szCs w:val="21"/>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外墙(填充墙)1</w:t>
            </w:r>
          </w:p>
        </w:tc>
        <w:tc>
          <w:tcPr>
            <w:vAlign w:val="center"/>
          </w:tcPr>
          <w:p>
            <w:pPr>
              <w:rPr>
                <w:sz w:val="21"/>
                <w:szCs w:val="21"/>
              </w:rPr>
            </w:pPr>
            <w:r>
              <w:rPr>
                <w:sz w:val="21"/>
                <w:szCs w:val="21"/>
              </w:rPr>
              <w:t>抗裂砂浆</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9</w:t>
            </w:r>
          </w:p>
        </w:tc>
        <w:tc>
          <w:tcPr>
            <w:vMerge w:val="restart"/>
            <w:vAlign w:val="center"/>
          </w:tcPr>
          <w:p>
            <w:pPr>
              <w:jc w:val="center"/>
              <w:rPr>
                <w:sz w:val="21"/>
                <w:szCs w:val="21"/>
              </w:rPr>
            </w:pPr>
            <w:r>
              <w:rPr>
                <w:sz w:val="21"/>
                <w:szCs w:val="21"/>
              </w:rPr>
              <w:t>167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防水涂料</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抗裂砂浆</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玻化微珠保温浆料</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400.0</w:t>
            </w:r>
          </w:p>
        </w:tc>
        <w:tc>
          <w:tcPr>
            <w:vAlign w:val="center"/>
          </w:tcPr>
          <w:p>
            <w:pPr>
              <w:jc w:val="center"/>
              <w:rPr>
                <w:sz w:val="21"/>
                <w:szCs w:val="21"/>
              </w:rPr>
            </w:pPr>
            <w:r>
              <w:rPr>
                <w:sz w:val="21"/>
                <w:szCs w:val="21"/>
              </w:rPr>
              <w:t>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玻化微珠保温浆料</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400.0</w:t>
            </w:r>
          </w:p>
        </w:tc>
        <w:tc>
          <w:tcPr>
            <w:vAlign w:val="center"/>
          </w:tcPr>
          <w:p>
            <w:pPr>
              <w:jc w:val="center"/>
              <w:rPr>
                <w:sz w:val="21"/>
                <w:szCs w:val="21"/>
              </w:rPr>
            </w:pPr>
            <w:r>
              <w:rPr>
                <w:sz w:val="21"/>
                <w:szCs w:val="21"/>
              </w:rPr>
              <w:t>12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石墨挤塑聚苯板（sxps）</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加气混凝土砌块及板材(B06)</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600.0</w:t>
            </w:r>
          </w:p>
        </w:tc>
        <w:tc>
          <w:tcPr>
            <w:vAlign w:val="center"/>
          </w:tcPr>
          <w:p>
            <w:pPr>
              <w:jc w:val="center"/>
              <w:rPr>
                <w:sz w:val="21"/>
                <w:szCs w:val="21"/>
              </w:rPr>
            </w:pPr>
            <w:r>
              <w:rPr>
                <w:sz w:val="21"/>
                <w:szCs w:val="21"/>
              </w:rPr>
              <w:t>120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外墙(填充墙)2</w:t>
            </w:r>
          </w:p>
        </w:tc>
        <w:tc>
          <w:tcPr>
            <w:vAlign w:val="center"/>
          </w:tcPr>
          <w:p>
            <w:pPr>
              <w:rPr>
                <w:sz w:val="21"/>
                <w:szCs w:val="21"/>
              </w:rPr>
            </w:pPr>
            <w:r>
              <w:rPr>
                <w:sz w:val="21"/>
                <w:szCs w:val="21"/>
              </w:rPr>
              <w:t>岩棉板（横丝）</w:t>
            </w:r>
          </w:p>
        </w:tc>
        <w:tc>
          <w:tcPr>
            <w:vAlign w:val="center"/>
          </w:tcPr>
          <w:p>
            <w:pPr>
              <w:jc w:val="center"/>
              <w:rPr>
                <w:sz w:val="21"/>
                <w:szCs w:val="21"/>
              </w:rPr>
            </w:pPr>
            <w:r>
              <w:rPr>
                <w:sz w:val="21"/>
                <w:szCs w:val="21"/>
              </w:rPr>
              <w:t>75</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12</w:t>
            </w:r>
          </w:p>
        </w:tc>
        <w:tc>
          <w:tcPr>
            <w:vMerge w:val="restart"/>
            <w:vAlign w:val="center"/>
          </w:tcPr>
          <w:p>
            <w:pPr>
              <w:jc w:val="center"/>
              <w:rPr>
                <w:sz w:val="21"/>
                <w:szCs w:val="21"/>
              </w:rPr>
            </w:pPr>
            <w:r>
              <w:rPr>
                <w:sz w:val="21"/>
                <w:szCs w:val="21"/>
              </w:rPr>
              <w:t>132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加气混凝土砌块及板材(B06)</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600.0</w:t>
            </w:r>
          </w:p>
        </w:tc>
        <w:tc>
          <w:tcPr>
            <w:vAlign w:val="center"/>
          </w:tcPr>
          <w:p>
            <w:pPr>
              <w:jc w:val="center"/>
              <w:rPr>
                <w:sz w:val="21"/>
                <w:szCs w:val="21"/>
              </w:rPr>
            </w:pPr>
            <w:r>
              <w:rPr>
                <w:sz w:val="21"/>
                <w:szCs w:val="21"/>
              </w:rPr>
              <w:t>120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隔墙1</w:t>
            </w: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1700.0</w:t>
            </w:r>
          </w:p>
        </w:tc>
        <w:tc>
          <w:tcPr>
            <w:vAlign w:val="center"/>
          </w:tcPr>
          <w:p>
            <w:pPr>
              <w:jc w:val="center"/>
              <w:rPr>
                <w:sz w:val="21"/>
                <w:szCs w:val="21"/>
              </w:rPr>
            </w:pPr>
            <w:r>
              <w:rPr>
                <w:sz w:val="21"/>
                <w:szCs w:val="21"/>
              </w:rPr>
              <w:t>34</w:t>
            </w:r>
          </w:p>
        </w:tc>
        <w:tc>
          <w:tcPr>
            <w:vMerge w:val="restart"/>
            <w:vAlign w:val="center"/>
          </w:tcPr>
          <w:p>
            <w:pPr>
              <w:jc w:val="center"/>
              <w:rPr>
                <w:sz w:val="21"/>
                <w:szCs w:val="21"/>
              </w:rPr>
            </w:pPr>
            <w:r>
              <w:rPr>
                <w:sz w:val="21"/>
                <w:szCs w:val="21"/>
              </w:rPr>
              <w:t>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保温层砂浆（玻化微珠）</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320.0</w:t>
            </w:r>
          </w:p>
        </w:tc>
        <w:tc>
          <w:tcPr>
            <w:vAlign w:val="center"/>
          </w:tcPr>
          <w:p>
            <w:pPr>
              <w:jc w:val="center"/>
              <w:rPr>
                <w:sz w:val="21"/>
                <w:szCs w:val="21"/>
              </w:rPr>
            </w:pPr>
            <w:r>
              <w:rPr>
                <w:sz w:val="21"/>
                <w:szCs w:val="21"/>
              </w:rPr>
              <w:t>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加气混凝土砌块</w:t>
            </w:r>
          </w:p>
        </w:tc>
        <w:tc>
          <w:tcPr>
            <w:vAlign w:val="center"/>
          </w:tcPr>
          <w:p>
            <w:pPr>
              <w:jc w:val="center"/>
              <w:rPr>
                <w:sz w:val="21"/>
                <w:szCs w:val="21"/>
              </w:rPr>
            </w:pPr>
            <w:r>
              <w:rPr>
                <w:sz w:val="21"/>
                <w:szCs w:val="21"/>
              </w:rPr>
              <w:t>180</w:t>
            </w:r>
          </w:p>
        </w:tc>
        <w:tc>
          <w:tcPr>
            <w:vAlign w:val="center"/>
          </w:tcPr>
          <w:p>
            <w:pPr>
              <w:jc w:val="center"/>
              <w:rPr>
                <w:sz w:val="21"/>
                <w:szCs w:val="21"/>
              </w:rPr>
            </w:pPr>
            <w:r>
              <w:rPr>
                <w:sz w:val="21"/>
                <w:szCs w:val="21"/>
              </w:rPr>
              <w:t>600.0</w:t>
            </w:r>
          </w:p>
        </w:tc>
        <w:tc>
          <w:tcPr>
            <w:vAlign w:val="center"/>
          </w:tcPr>
          <w:p>
            <w:pPr>
              <w:jc w:val="center"/>
              <w:rPr>
                <w:sz w:val="21"/>
                <w:szCs w:val="21"/>
              </w:rPr>
            </w:pPr>
            <w:r>
              <w:rPr>
                <w:sz w:val="21"/>
                <w:szCs w:val="21"/>
              </w:rPr>
              <w:t>108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保温层砂浆（玻化微珠）</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320.0</w:t>
            </w:r>
          </w:p>
        </w:tc>
        <w:tc>
          <w:tcPr>
            <w:vAlign w:val="center"/>
          </w:tcPr>
          <w:p>
            <w:pPr>
              <w:jc w:val="center"/>
              <w:rPr>
                <w:sz w:val="21"/>
                <w:szCs w:val="21"/>
              </w:rPr>
            </w:pPr>
            <w:r>
              <w:rPr>
                <w:sz w:val="21"/>
                <w:szCs w:val="21"/>
              </w:rPr>
              <w:t>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隔墙2</w:t>
            </w:r>
          </w:p>
        </w:tc>
        <w:tc>
          <w:tcPr>
            <w:vAlign w:val="center"/>
          </w:tcPr>
          <w:p>
            <w:pPr>
              <w:rPr>
                <w:sz w:val="21"/>
                <w:szCs w:val="21"/>
              </w:rPr>
            </w:pPr>
            <w:r>
              <w:rPr>
                <w:sz w:val="21"/>
                <w:szCs w:val="21"/>
              </w:rPr>
              <w:t>保温层砂浆（玻化微珠）</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320.0</w:t>
            </w:r>
          </w:p>
        </w:tc>
        <w:tc>
          <w:tcPr>
            <w:vAlign w:val="center"/>
          </w:tcPr>
          <w:p>
            <w:pPr>
              <w:jc w:val="center"/>
              <w:rPr>
                <w:sz w:val="21"/>
                <w:szCs w:val="21"/>
              </w:rPr>
            </w:pPr>
            <w:r>
              <w:rPr>
                <w:sz w:val="21"/>
                <w:szCs w:val="21"/>
              </w:rPr>
              <w:t>5</w:t>
            </w:r>
          </w:p>
        </w:tc>
        <w:tc>
          <w:tcPr>
            <w:vMerge w:val="restart"/>
            <w:vAlign w:val="center"/>
          </w:tcPr>
          <w:p>
            <w:pPr>
              <w:jc w:val="cente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加气混凝土砌块及板材</w:t>
            </w:r>
          </w:p>
        </w:tc>
        <w:tc>
          <w:tcPr>
            <w:vAlign w:val="center"/>
          </w:tcPr>
          <w:p>
            <w:pPr>
              <w:jc w:val="center"/>
              <w:rPr>
                <w:sz w:val="21"/>
                <w:szCs w:val="21"/>
              </w:rPr>
            </w:pPr>
            <w:r>
              <w:rPr>
                <w:sz w:val="21"/>
                <w:szCs w:val="21"/>
              </w:rPr>
              <w:t>180</w:t>
            </w:r>
          </w:p>
        </w:tc>
        <w:tc>
          <w:tcPr>
            <w:vAlign w:val="center"/>
          </w:tcPr>
          <w:p>
            <w:pPr>
              <w:jc w:val="center"/>
              <w:rPr>
                <w:sz w:val="21"/>
                <w:szCs w:val="21"/>
              </w:rPr>
            </w:pPr>
            <w:r>
              <w:rPr>
                <w:sz w:val="21"/>
                <w:szCs w:val="21"/>
              </w:rPr>
              <w:t>500.0</w:t>
            </w:r>
          </w:p>
        </w:tc>
        <w:tc>
          <w:tcPr>
            <w:vAlign w:val="center"/>
          </w:tcPr>
          <w:p>
            <w:pPr>
              <w:jc w:val="center"/>
              <w:rPr>
                <w:sz w:val="21"/>
                <w:szCs w:val="21"/>
              </w:rPr>
            </w:pPr>
            <w:r>
              <w:rPr>
                <w:sz w:val="21"/>
                <w:szCs w:val="21"/>
              </w:rPr>
              <w:t>90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保温层砂浆（玻化微珠）</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320.0</w:t>
            </w:r>
          </w:p>
        </w:tc>
        <w:tc>
          <w:tcPr>
            <w:vAlign w:val="center"/>
          </w:tcPr>
          <w:p>
            <w:pPr>
              <w:jc w:val="center"/>
              <w:rPr>
                <w:sz w:val="21"/>
                <w:szCs w:val="21"/>
              </w:rPr>
            </w:pPr>
            <w:r>
              <w:rPr>
                <w:sz w:val="21"/>
                <w:szCs w:val="21"/>
              </w:rPr>
              <w:t>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屋顶1</w:t>
            </w:r>
          </w:p>
        </w:tc>
        <w:tc>
          <w:tcPr>
            <w:vAlign w:val="center"/>
          </w:tcPr>
          <w:p>
            <w:pPr>
              <w:rPr>
                <w:sz w:val="21"/>
                <w:szCs w:val="21"/>
              </w:rPr>
            </w:pPr>
            <w:r>
              <w:rPr>
                <w:sz w:val="21"/>
                <w:szCs w:val="21"/>
              </w:rPr>
              <w:t>细石混凝土</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2600.0</w:t>
            </w:r>
          </w:p>
        </w:tc>
        <w:tc>
          <w:tcPr>
            <w:vAlign w:val="center"/>
          </w:tcPr>
          <w:p>
            <w:pPr>
              <w:jc w:val="center"/>
              <w:rPr>
                <w:sz w:val="21"/>
                <w:szCs w:val="21"/>
              </w:rPr>
            </w:pPr>
            <w:r>
              <w:rPr>
                <w:sz w:val="21"/>
                <w:szCs w:val="21"/>
              </w:rPr>
              <w:t>104</w:t>
            </w:r>
          </w:p>
        </w:tc>
        <w:tc>
          <w:tcPr>
            <w:vMerge w:val="restart"/>
            <w:vAlign w:val="center"/>
          </w:tcPr>
          <w:p>
            <w:pPr>
              <w:jc w:val="center"/>
              <w:rPr>
                <w:sz w:val="21"/>
                <w:szCs w:val="21"/>
              </w:rPr>
            </w:pPr>
            <w:r>
              <w:rPr>
                <w:sz w:val="21"/>
                <w:szCs w:val="21"/>
              </w:rPr>
              <w:t>566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900.0</w:t>
            </w:r>
          </w:p>
        </w:tc>
        <w:tc>
          <w:tcPr>
            <w:vAlign w:val="center"/>
          </w:tcPr>
          <w:p>
            <w:pPr>
              <w:jc w:val="center"/>
              <w:rPr>
                <w:sz w:val="21"/>
                <w:szCs w:val="21"/>
              </w:rPr>
            </w:pPr>
            <w:r>
              <w:rPr>
                <w:sz w:val="21"/>
                <w:szCs w:val="21"/>
              </w:rPr>
              <w:t>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防水涂料</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挤塑型聚苯板(XPS板)</w:t>
            </w:r>
          </w:p>
        </w:tc>
        <w:tc>
          <w:tcPr>
            <w:vAlign w:val="center"/>
          </w:tcPr>
          <w:p>
            <w:pPr>
              <w:jc w:val="center"/>
              <w:rPr>
                <w:sz w:val="21"/>
                <w:szCs w:val="21"/>
              </w:rPr>
            </w:pPr>
            <w:r>
              <w:rPr>
                <w:sz w:val="21"/>
                <w:szCs w:val="21"/>
              </w:rPr>
              <w:t>230</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轻集料混凝土</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1600.0</w:t>
            </w:r>
          </w:p>
        </w:tc>
        <w:tc>
          <w:tcPr>
            <w:vAlign w:val="center"/>
          </w:tcPr>
          <w:p>
            <w:pPr>
              <w:jc w:val="center"/>
              <w:rPr>
                <w:sz w:val="21"/>
                <w:szCs w:val="21"/>
              </w:rPr>
            </w:pPr>
            <w:r>
              <w:rPr>
                <w:sz w:val="21"/>
                <w:szCs w:val="21"/>
              </w:rPr>
              <w:t>48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屋顶2</w:t>
            </w:r>
          </w:p>
        </w:tc>
        <w:tc>
          <w:tcPr>
            <w:vAlign w:val="center"/>
          </w:tcPr>
          <w:p>
            <w:pPr>
              <w:rPr>
                <w:sz w:val="21"/>
                <w:szCs w:val="21"/>
              </w:rPr>
            </w:pPr>
            <w:r>
              <w:rPr>
                <w:sz w:val="21"/>
                <w:szCs w:val="21"/>
              </w:rPr>
              <w:t>地砖</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1700.0</w:t>
            </w:r>
          </w:p>
        </w:tc>
        <w:tc>
          <w:tcPr>
            <w:vAlign w:val="center"/>
          </w:tcPr>
          <w:p>
            <w:pPr>
              <w:jc w:val="center"/>
              <w:rPr>
                <w:sz w:val="21"/>
                <w:szCs w:val="21"/>
              </w:rPr>
            </w:pPr>
            <w:r>
              <w:rPr>
                <w:sz w:val="21"/>
                <w:szCs w:val="21"/>
              </w:rPr>
              <w:t>34</w:t>
            </w:r>
          </w:p>
        </w:tc>
        <w:tc>
          <w:tcPr>
            <w:vMerge w:val="restart"/>
            <w:vAlign w:val="center"/>
          </w:tcPr>
          <w:p>
            <w:pPr>
              <w:jc w:val="center"/>
              <w:rPr>
                <w:sz w:val="21"/>
                <w:szCs w:val="21"/>
              </w:rPr>
            </w:pPr>
            <w:r>
              <w:rPr>
                <w:sz w:val="21"/>
                <w:szCs w:val="21"/>
              </w:rPr>
              <w:t>636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细石混凝土</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2600.0</w:t>
            </w:r>
          </w:p>
        </w:tc>
        <w:tc>
          <w:tcPr>
            <w:vAlign w:val="center"/>
          </w:tcPr>
          <w:p>
            <w:pPr>
              <w:jc w:val="center"/>
              <w:rPr>
                <w:sz w:val="21"/>
                <w:szCs w:val="21"/>
              </w:rPr>
            </w:pPr>
            <w:r>
              <w:rPr>
                <w:sz w:val="21"/>
                <w:szCs w:val="21"/>
              </w:rPr>
              <w:t>104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72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900.0</w:t>
            </w:r>
          </w:p>
        </w:tc>
        <w:tc>
          <w:tcPr>
            <w:vAlign w:val="center"/>
          </w:tcPr>
          <w:p>
            <w:pPr>
              <w:jc w:val="center"/>
              <w:rPr>
                <w:sz w:val="21"/>
                <w:szCs w:val="21"/>
              </w:rPr>
            </w:pPr>
            <w:r>
              <w:rPr>
                <w:sz w:val="21"/>
                <w:szCs w:val="21"/>
              </w:rPr>
              <w:t>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防水涂料</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挤塑型聚苯板(XPS板)</w:t>
            </w:r>
          </w:p>
        </w:tc>
        <w:tc>
          <w:tcPr>
            <w:vAlign w:val="center"/>
          </w:tcPr>
          <w:p>
            <w:pPr>
              <w:jc w:val="center"/>
              <w:rPr>
                <w:sz w:val="21"/>
                <w:szCs w:val="21"/>
              </w:rPr>
            </w:pPr>
            <w:r>
              <w:rPr>
                <w:sz w:val="21"/>
                <w:szCs w:val="21"/>
              </w:rPr>
              <w:t>230</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轻集料混凝土</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1600.0</w:t>
            </w:r>
          </w:p>
        </w:tc>
        <w:tc>
          <w:tcPr>
            <w:vAlign w:val="center"/>
          </w:tcPr>
          <w:p>
            <w:pPr>
              <w:jc w:val="center"/>
              <w:rPr>
                <w:sz w:val="21"/>
                <w:szCs w:val="21"/>
              </w:rPr>
            </w:pPr>
            <w:r>
              <w:rPr>
                <w:sz w:val="21"/>
                <w:szCs w:val="21"/>
              </w:rPr>
              <w:t>48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屋顶3</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492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c20细石混凝土(ρ=2300)</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2300.0</w:t>
            </w:r>
          </w:p>
        </w:tc>
        <w:tc>
          <w:tcPr>
            <w:vAlign w:val="center"/>
          </w:tcPr>
          <w:p>
            <w:pPr>
              <w:jc w:val="center"/>
              <w:rPr>
                <w:sz w:val="21"/>
                <w:szCs w:val="21"/>
              </w:rPr>
            </w:pPr>
            <w:r>
              <w:rPr>
                <w:sz w:val="21"/>
                <w:szCs w:val="21"/>
              </w:rPr>
              <w:t>92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900.0</w:t>
            </w:r>
          </w:p>
        </w:tc>
        <w:tc>
          <w:tcPr>
            <w:vAlign w:val="center"/>
          </w:tcPr>
          <w:p>
            <w:pPr>
              <w:jc w:val="center"/>
              <w:rPr>
                <w:sz w:val="21"/>
                <w:szCs w:val="21"/>
              </w:rPr>
            </w:pPr>
            <w:r>
              <w:rPr>
                <w:sz w:val="21"/>
                <w:szCs w:val="21"/>
              </w:rPr>
              <w:t>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1600.0</w:t>
            </w:r>
          </w:p>
        </w:tc>
        <w:tc>
          <w:tcPr>
            <w:vAlign w:val="center"/>
          </w:tcPr>
          <w:p>
            <w:pPr>
              <w:jc w:val="center"/>
              <w:rPr>
                <w:sz w:val="21"/>
                <w:szCs w:val="21"/>
              </w:rPr>
            </w:pPr>
            <w:r>
              <w:rPr>
                <w:sz w:val="21"/>
                <w:szCs w:val="21"/>
              </w:rPr>
              <w:t>16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防水涂料</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1600.0</w:t>
            </w:r>
          </w:p>
        </w:tc>
        <w:tc>
          <w:tcPr>
            <w:vAlign w:val="center"/>
          </w:tcPr>
          <w:p>
            <w:pPr>
              <w:jc w:val="center"/>
              <w:rPr>
                <w:sz w:val="21"/>
                <w:szCs w:val="21"/>
              </w:rPr>
            </w:pPr>
            <w:r>
              <w:rPr>
                <w:sz w:val="21"/>
                <w:szCs w:val="21"/>
              </w:rPr>
              <w:t>16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挤塑型聚苯板(XPS板)</w:t>
            </w:r>
          </w:p>
        </w:tc>
        <w:tc>
          <w:tcPr>
            <w:vAlign w:val="center"/>
          </w:tcPr>
          <w:p>
            <w:pPr>
              <w:jc w:val="center"/>
              <w:rPr>
                <w:sz w:val="21"/>
                <w:szCs w:val="21"/>
              </w:rPr>
            </w:pPr>
            <w:r>
              <w:rPr>
                <w:sz w:val="21"/>
                <w:szCs w:val="21"/>
              </w:rPr>
              <w:t>230</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2500.0</w:t>
            </w:r>
          </w:p>
        </w:tc>
        <w:tc>
          <w:tcPr>
            <w:vAlign w:val="center"/>
          </w:tcPr>
          <w:p>
            <w:pPr>
              <w:jc w:val="center"/>
              <w:rPr>
                <w:sz w:val="21"/>
                <w:szCs w:val="21"/>
              </w:rPr>
            </w:pPr>
            <w:r>
              <w:rPr>
                <w:sz w:val="21"/>
                <w:szCs w:val="21"/>
              </w:rPr>
              <w:t>250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地砖</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1700.0</w:t>
            </w:r>
          </w:p>
        </w:tc>
        <w:tc>
          <w:tcPr>
            <w:vAlign w:val="center"/>
          </w:tcPr>
          <w:p>
            <w:pPr>
              <w:jc w:val="center"/>
              <w:rPr>
                <w:sz w:val="21"/>
                <w:szCs w:val="21"/>
              </w:rPr>
            </w:pPr>
            <w:r>
              <w:rPr>
                <w:sz w:val="21"/>
                <w:szCs w:val="21"/>
              </w:rPr>
              <w:t>17</w:t>
            </w:r>
          </w:p>
        </w:tc>
        <w:tc>
          <w:tcPr>
            <w:vMerge w:val="restart"/>
            <w:vAlign w:val="center"/>
          </w:tcPr>
          <w:p>
            <w:pPr>
              <w:jc w:val="center"/>
              <w:rPr>
                <w:sz w:val="21"/>
                <w:szCs w:val="21"/>
              </w:rPr>
            </w:pPr>
            <w:r>
              <w:rPr>
                <w:sz w:val="21"/>
                <w:szCs w:val="21"/>
              </w:rPr>
              <w:t>456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细石混凝土</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2600.0</w:t>
            </w:r>
          </w:p>
        </w:tc>
        <w:tc>
          <w:tcPr>
            <w:vAlign w:val="center"/>
          </w:tcPr>
          <w:p>
            <w:pPr>
              <w:jc w:val="center"/>
              <w:rPr>
                <w:sz w:val="21"/>
                <w:szCs w:val="21"/>
              </w:rPr>
            </w:pPr>
            <w:r>
              <w:rPr>
                <w:sz w:val="21"/>
                <w:szCs w:val="21"/>
              </w:rPr>
              <w:t>104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挤塑型聚苯板(XPS板)</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微孔聚乙烯复合隔声垫</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130</w:t>
            </w:r>
          </w:p>
        </w:tc>
        <w:tc>
          <w:tcPr>
            <w:vAlign w:val="center"/>
          </w:tcPr>
          <w:p>
            <w:pPr>
              <w:jc w:val="center"/>
              <w:rPr>
                <w:sz w:val="21"/>
                <w:szCs w:val="21"/>
              </w:rPr>
            </w:pPr>
            <w:r>
              <w:rPr>
                <w:sz w:val="21"/>
                <w:szCs w:val="21"/>
              </w:rPr>
              <w:t>2500.0</w:t>
            </w:r>
          </w:p>
        </w:tc>
        <w:tc>
          <w:tcPr>
            <w:vAlign w:val="center"/>
          </w:tcPr>
          <w:p>
            <w:pPr>
              <w:jc w:val="center"/>
              <w:rPr>
                <w:sz w:val="21"/>
                <w:szCs w:val="21"/>
              </w:rPr>
            </w:pPr>
            <w:r>
              <w:rPr>
                <w:sz w:val="21"/>
                <w:szCs w:val="21"/>
              </w:rPr>
              <w:t>325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挑空楼板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挤塑型聚苯板(XPS板)</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地砖</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1700.0</w:t>
            </w:r>
          </w:p>
        </w:tc>
        <w:tc>
          <w:tcPr>
            <w:vAlign w:val="center"/>
          </w:tcPr>
          <w:p>
            <w:pPr>
              <w:jc w:val="center"/>
              <w:rPr>
                <w:sz w:val="21"/>
                <w:szCs w:val="21"/>
              </w:rPr>
            </w:pPr>
            <w:r>
              <w:rPr>
                <w:sz w:val="21"/>
                <w:szCs w:val="21"/>
              </w:rPr>
              <w:t>17</w:t>
            </w:r>
          </w:p>
        </w:tc>
        <w:tc>
          <w:tcPr>
            <w:vMerge w:val="restart"/>
            <w:vAlign w:val="center"/>
          </w:tcPr>
          <w:p>
            <w:pPr>
              <w:jc w:val="center"/>
              <w:rPr>
                <w:sz w:val="21"/>
                <w:szCs w:val="21"/>
              </w:rPr>
            </w:pPr>
            <w:r>
              <w:rPr>
                <w:sz w:val="21"/>
                <w:szCs w:val="21"/>
              </w:rPr>
              <w:t>673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水泥砂浆(找平层)</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细石混凝土</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2600.0</w:t>
            </w:r>
          </w:p>
        </w:tc>
        <w:tc>
          <w:tcPr>
            <w:vAlign w:val="center"/>
          </w:tcPr>
          <w:p>
            <w:pPr>
              <w:jc w:val="center"/>
              <w:rPr>
                <w:sz w:val="21"/>
                <w:szCs w:val="21"/>
              </w:rPr>
            </w:pPr>
            <w:r>
              <w:rPr>
                <w:sz w:val="21"/>
                <w:szCs w:val="21"/>
              </w:rPr>
              <w:t>156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挤塑型聚苯板(XPS板)</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碎石、卵石混凝土(ρ=2100)</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2100.0</w:t>
            </w:r>
          </w:p>
        </w:tc>
        <w:tc>
          <w:tcPr>
            <w:vAlign w:val="center"/>
          </w:tcPr>
          <w:p>
            <w:pPr>
              <w:jc w:val="center"/>
              <w:rPr>
                <w:sz w:val="21"/>
                <w:szCs w:val="21"/>
              </w:rPr>
            </w:pPr>
            <w:r>
              <w:rPr>
                <w:sz w:val="21"/>
                <w:szCs w:val="21"/>
              </w:rPr>
              <w:t>126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夯实粘土(ρ=2000)</w:t>
            </w:r>
          </w:p>
        </w:tc>
        <w:tc>
          <w:tcPr>
            <w:vAlign w:val="center"/>
          </w:tcPr>
          <w:p>
            <w:pPr>
              <w:jc w:val="center"/>
              <w:rPr>
                <w:sz w:val="21"/>
                <w:szCs w:val="21"/>
              </w:rPr>
            </w:pPr>
            <w:r>
              <w:rPr>
                <w:sz w:val="21"/>
                <w:szCs w:val="21"/>
              </w:rPr>
              <w:t>150</w:t>
            </w:r>
          </w:p>
        </w:tc>
        <w:tc>
          <w:tcPr>
            <w:vAlign w:val="center"/>
          </w:tcPr>
          <w:p>
            <w:pPr>
              <w:jc w:val="center"/>
              <w:rPr>
                <w:sz w:val="21"/>
                <w:szCs w:val="21"/>
              </w:rPr>
            </w:pPr>
            <w:r>
              <w:rPr>
                <w:sz w:val="21"/>
                <w:szCs w:val="21"/>
              </w:rPr>
              <w:t>2000.0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bl>
    <w:p>
      <w:pPr>
        <w:pStyle w:val="13"/>
        <w:ind w:firstLine="420" w:firstLineChars="0"/>
        <w:jc w:val="center"/>
        <w:rPr>
          <w:rFonts w:hint="eastAsia" w:ascii="宋体" w:hAnsi="宋体" w:eastAsia="宋体"/>
          <w:color w:val="000000"/>
          <w:sz w:val="21"/>
          <w:szCs w:val="21"/>
        </w:rPr>
      </w:pPr>
      <w:bookmarkStart w:id="43" w:name="围护结构材料清单"/>
      <w:bookmarkEnd w:id="43"/>
    </w:p>
    <w:p>
      <w:pPr>
        <w:pStyle w:val="5"/>
        <w:rPr>
          <w:rFonts w:hint="eastAsia"/>
        </w:rPr>
      </w:pPr>
      <w:bookmarkStart w:id="44" w:name="_Toc18623"/>
      <w:r>
        <w:rPr>
          <w:rFonts w:hint="eastAsia"/>
        </w:rPr>
        <w:t>墙板空气声隔声性能</w:t>
      </w:r>
      <w:bookmarkEnd w:id="44"/>
    </w:p>
    <w:p>
      <w:pPr>
        <w:pStyle w:val="3"/>
        <w:ind w:firstLine="420" w:firstLineChars="200"/>
        <w:rPr>
          <w:rFonts w:hint="eastAsia"/>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rFonts w:hint="eastAsia"/>
          <w:color w:val="FF0000"/>
        </w:rPr>
      </w:pPr>
      <w:r>
        <w:rPr>
          <w:rFonts w:hint="eastAsia"/>
          <w:lang w:val="en-US"/>
        </w:rPr>
        <w:t>符合质量定律的构件，可按面密度m计算各频率下的空气声隔声量：</w:t>
      </w:r>
      <w:r>
        <w:rPr>
          <w:lang w:val="en-US"/>
        </w:rPr>
        <w:t xml:space="preserve"> </w:t>
      </w:r>
    </w:p>
    <w:p>
      <w:pPr>
        <w:pStyle w:val="3"/>
        <w:spacing w:before="240"/>
        <w:jc w:val="center"/>
        <w:rPr>
          <w:rFonts w:hint="eastAsia"/>
          <w:lang w:val="en-US"/>
        </w:rPr>
      </w:pPr>
      <w:r>
        <w:rPr>
          <w:i/>
          <w:lang w:val="en-US"/>
        </w:rPr>
        <w:t>R</w:t>
      </w:r>
      <w:r>
        <w:rPr>
          <w:lang w:val="en-US"/>
        </w:rPr>
        <w:t>=</w:t>
      </w:r>
      <w:bookmarkStart w:id="45" w:name="公式A1"/>
      <w:r>
        <w:t>23</w:t>
      </w:r>
      <w:bookmarkEnd w:id="45"/>
      <w:r>
        <w:rPr>
          <w:rFonts w:hint="eastAsia"/>
          <w:i/>
          <w:lang w:val="en-US"/>
        </w:rPr>
        <w:t>lg</w:t>
      </w:r>
      <w:r>
        <w:rPr>
          <w:lang w:val="en-US"/>
        </w:rPr>
        <w:t xml:space="preserve"> </w:t>
      </w:r>
      <w:r>
        <w:rPr>
          <w:rFonts w:hint="eastAsia"/>
          <w:lang w:val="en-US"/>
        </w:rPr>
        <w:t>m</w:t>
      </w:r>
      <w:r>
        <w:rPr>
          <w:lang w:val="en-US"/>
        </w:rPr>
        <w:t>+</w:t>
      </w:r>
      <w:bookmarkStart w:id="46" w:name="公式B1"/>
      <w:r>
        <w:t>11</w:t>
      </w:r>
      <w:bookmarkEnd w:id="46"/>
      <w:r>
        <w:rPr>
          <w:rFonts w:hint="eastAsia"/>
          <w:i/>
          <w:lang w:val="en-US"/>
        </w:rPr>
        <w:t>lg</w:t>
      </w:r>
      <w:r>
        <w:rPr>
          <w:i/>
          <w:lang w:val="en-US"/>
        </w:rPr>
        <w:t xml:space="preserve"> </w:t>
      </w:r>
      <w:r>
        <w:rPr>
          <w:rFonts w:hint="eastAsia"/>
          <w:lang w:val="en-US"/>
        </w:rPr>
        <w:t>f</w:t>
      </w:r>
      <w:bookmarkStart w:id="47" w:name="公式C1"/>
      <w:r>
        <w:t>-41</w:t>
      </w:r>
      <w:bookmarkEnd w:id="47"/>
      <w:r>
        <w:rPr>
          <w:lang w:val="en-US"/>
        </w:rPr>
        <w:t xml:space="preserve">      （m</w:t>
      </w:r>
      <w:r>
        <w:rPr>
          <w:rFonts w:cs="宋体"/>
          <w:lang w:val="en-US"/>
        </w:rPr>
        <w:t>≥200kg/m</w:t>
      </w:r>
      <w:r>
        <w:rPr>
          <w:rFonts w:cs="宋体"/>
          <w:vertAlign w:val="superscript"/>
          <w:lang w:val="en-US"/>
        </w:rPr>
        <w:t>2</w:t>
      </w:r>
      <w:r>
        <w:rPr>
          <w:lang w:val="en-US"/>
        </w:rPr>
        <w:t>）</w:t>
      </w:r>
    </w:p>
    <w:p>
      <w:pPr>
        <w:pStyle w:val="3"/>
        <w:jc w:val="center"/>
        <w:rPr>
          <w:rFonts w:hint="eastAsia"/>
          <w:lang w:val="en-US"/>
        </w:rPr>
      </w:pPr>
      <w:r>
        <w:rPr>
          <w:i/>
          <w:lang w:val="en-US"/>
        </w:rPr>
        <w:t>R</w:t>
      </w:r>
      <w:r>
        <w:rPr>
          <w:lang w:val="en-US"/>
        </w:rPr>
        <w:t>=</w:t>
      </w:r>
      <w:bookmarkStart w:id="48" w:name="公式A2"/>
      <w:r>
        <w:t>13</w:t>
      </w:r>
      <w:bookmarkEnd w:id="48"/>
      <w:r>
        <w:rPr>
          <w:rFonts w:hint="eastAsia"/>
          <w:i/>
          <w:lang w:val="en-US"/>
        </w:rPr>
        <w:t>lg</w:t>
      </w:r>
      <w:r>
        <w:rPr>
          <w:lang w:val="en-US"/>
        </w:rPr>
        <w:t xml:space="preserve"> </w:t>
      </w:r>
      <w:r>
        <w:rPr>
          <w:rFonts w:hint="eastAsia"/>
          <w:lang w:val="en-US"/>
        </w:rPr>
        <w:t>m</w:t>
      </w:r>
      <w:r>
        <w:rPr>
          <w:lang w:val="en-US"/>
        </w:rPr>
        <w:t>+</w:t>
      </w:r>
      <w:bookmarkStart w:id="49" w:name="公式B2"/>
      <w:r>
        <w:t>11</w:t>
      </w:r>
      <w:bookmarkEnd w:id="49"/>
      <w:r>
        <w:rPr>
          <w:rFonts w:hint="eastAsia"/>
          <w:i/>
          <w:lang w:val="en-US"/>
        </w:rPr>
        <w:t>lg</w:t>
      </w:r>
      <w:r>
        <w:rPr>
          <w:i/>
          <w:lang w:val="en-US"/>
        </w:rPr>
        <w:t xml:space="preserve"> </w:t>
      </w:r>
      <w:r>
        <w:rPr>
          <w:rFonts w:hint="eastAsia"/>
          <w:lang w:val="en-US"/>
        </w:rPr>
        <w:t>f</w:t>
      </w:r>
      <w:bookmarkStart w:id="50" w:name="公式C2"/>
      <w:r>
        <w:t>-18</w:t>
      </w:r>
      <w:bookmarkEnd w:id="50"/>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rPr>
          <w:rFonts w:hint="eastAsia"/>
        </w:rPr>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hint="eastAsia"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spacing w:before="240"/>
        <w:jc w:val="right"/>
        <w:rPr>
          <w:rFonts w:hint="eastAsia"/>
          <w:lang w:val="en-US"/>
        </w:rPr>
      </w:pPr>
      <w:r>
        <w:rPr>
          <w:rFonts w:hint="eastAsia"/>
          <w:sz w:val="21"/>
          <w:szCs w:val="21"/>
          <w:lang w:val="en-US"/>
        </w:rPr>
        <w:t>表5.</w:t>
      </w:r>
      <w:r>
        <w:rPr>
          <w:sz w:val="21"/>
          <w:szCs w:val="21"/>
          <w:lang w:val="en-US"/>
        </w:rPr>
        <w:t>2</w:t>
      </w:r>
      <w:r>
        <w:rPr>
          <w:rFonts w:hint="eastAsia"/>
          <w:sz w:val="21"/>
          <w:szCs w:val="21"/>
          <w:lang w:val="en-US"/>
        </w:rPr>
        <w:t>墙板空气声隔声性能计算详表</w:t>
      </w:r>
      <w:r>
        <w:rPr>
          <w:sz w:val="21"/>
          <w:szCs w:val="21"/>
          <w:lang w:val="en-US"/>
        </w:rPr>
        <w:t xml:space="preserve">                </w:t>
      </w:r>
      <w:r>
        <w:rPr>
          <w:rFonts w:hint="eastAsia"/>
          <w:sz w:val="21"/>
          <w:szCs w:val="21"/>
          <w:lang w:val="en-US"/>
        </w:rPr>
        <w:t>单位：</w:t>
      </w:r>
      <w:r>
        <w:rPr>
          <w:sz w:val="21"/>
          <w:szCs w:val="21"/>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起居室外墙1</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抗裂砂浆 5mm＋防水涂料 1.5mm＋抗裂砂浆 5mm＋玻化微珠保温浆料 15mm＋玻化微珠保温浆料 30mm＋石墨挤塑聚苯板（sxps） 80mm＋水泥砂浆 5mm＋加气混凝土砌块及板材(B06) 200mm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蒸压加气混凝土砌块390x190x190双面抹灰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满足低限要求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起居室外墙2</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岩棉板（横丝） 75mm＋加气混凝土砌块及板材(B06) 200mm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蒸压加气混凝土砌块390x190x190双面抹灰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满足低限要求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分户墙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混合砂浆 20mm＋保温层砂浆（玻化微珠） 15mm＋加气混凝土砌块 180mm＋保温层砂浆（玻化微珠） 15mm＋混合砂浆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石膏珍珠岩轻质多孔条板(60厚9孔+50厚岩棉+60厚9孔双面抹灰)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分户楼板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地砖 10mm＋水泥砂浆 5mm＋细石混凝土 40mm＋挤塑型聚苯板(XPS板) 20mm＋微孔聚乙烯复合隔声垫 6mm＋钢筋混凝土 130mm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钢筋混凝土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456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hint="eastAsia" w:ascii="宋体" w:hAnsi="宋体" w:eastAsia="宋体"/>
          <w:kern w:val="0"/>
          <w:sz w:val="21"/>
          <w:szCs w:val="21"/>
        </w:rPr>
      </w:pPr>
      <w:bookmarkStart w:id="51" w:name="墙板空气声隔声量"/>
      <w:bookmarkEnd w:id="51"/>
    </w:p>
    <w:p>
      <w:pPr>
        <w:pStyle w:val="3"/>
        <w:rPr>
          <w:rFonts w:hint="eastAsia"/>
          <w:lang w:val="en-US"/>
        </w:rPr>
      </w:pPr>
    </w:p>
    <w:p>
      <w:pPr>
        <w:pStyle w:val="4"/>
        <w:rPr>
          <w:rFonts w:hint="eastAsia"/>
        </w:rPr>
      </w:pPr>
      <w:bookmarkStart w:id="52" w:name="_Toc11097"/>
      <w:r>
        <w:rPr>
          <w:rFonts w:hint="eastAsia"/>
        </w:rPr>
        <w:t>门窗的空气声隔声量</w:t>
      </w:r>
      <w:bookmarkEnd w:id="52"/>
    </w:p>
    <w:p>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rFonts w:hint="eastAsia"/>
          <w:sz w:val="21"/>
          <w:szCs w:val="21"/>
          <w:lang w:val="en-US"/>
        </w:rPr>
      </w:pPr>
      <w:r>
        <w:rPr>
          <w:rFonts w:hint="eastAsia"/>
          <w:sz w:val="21"/>
          <w:szCs w:val="21"/>
          <w:lang w:val="en-US"/>
        </w:rPr>
        <w:t>表5.</w:t>
      </w:r>
      <w:r>
        <w:rPr>
          <w:sz w:val="21"/>
          <w:szCs w:val="21"/>
          <w:lang w:val="en-US"/>
        </w:rPr>
        <w:t xml:space="preserve">3 </w:t>
      </w:r>
      <w:r>
        <w:rPr>
          <w:rFonts w:hint="eastAsia"/>
          <w:sz w:val="21"/>
          <w:szCs w:val="21"/>
          <w:lang w:val="en-US"/>
        </w:rPr>
        <w:t>门窗空气声隔声性能计算详表</w:t>
      </w:r>
      <w:r>
        <w:rPr>
          <w:sz w:val="21"/>
          <w:szCs w:val="21"/>
          <w:lang w:val="en-US"/>
        </w:rPr>
        <w:t xml:space="preserve">                 </w:t>
      </w:r>
      <w:r>
        <w:rPr>
          <w:rFonts w:hint="eastAsia"/>
          <w:sz w:val="21"/>
          <w:szCs w:val="21"/>
          <w:lang w:val="en-US"/>
        </w:rPr>
        <w:t>单位：</w:t>
      </w:r>
      <w:r>
        <w:rPr>
          <w:sz w:val="21"/>
          <w:szCs w:val="21"/>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户门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保温门（多功能门）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木门</w:t>
            </w:r>
            <w:r>
              <w:rPr>
                <w:sz w:val="21"/>
                <w:szCs w:val="21"/>
              </w:rPr>
              <w:br w:type="textWrapping"/>
            </w:r>
            <w:r>
              <w:rPr>
                <w:sz w:val="21"/>
                <w:szCs w:val="21"/>
              </w:rPr>
              <w:t>[示例]60厚木门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3.0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住宅建筑中其他外窗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65系列平开塑料窗（5腔室）5+12Ar+5+12Ar+5Low-E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夹层玻璃隔声窗</w:t>
            </w:r>
            <w:r>
              <w:rPr>
                <w:sz w:val="21"/>
                <w:szCs w:val="21"/>
              </w:rPr>
              <w:br w:type="textWrapping"/>
            </w:r>
            <w:r>
              <w:rPr>
                <w:sz w:val="21"/>
                <w:szCs w:val="21"/>
              </w:rPr>
              <w:t>[示例]8+0.76PVB+8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5.0</w:t>
            </w:r>
          </w:p>
        </w:tc>
        <w:tc>
          <w:tcPr>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hint="eastAsia" w:ascii="宋体" w:hAnsi="宋体" w:eastAsia="宋体"/>
          <w:kern w:val="0"/>
          <w:sz w:val="21"/>
          <w:szCs w:val="21"/>
        </w:rPr>
      </w:pPr>
      <w:bookmarkStart w:id="53" w:name="门窗空气声隔声量"/>
      <w:bookmarkEnd w:id="53"/>
    </w:p>
    <w:p>
      <w:pPr>
        <w:pStyle w:val="2"/>
        <w:ind w:left="669" w:hanging="669"/>
        <w:rPr>
          <w:rFonts w:hint="eastAsia"/>
        </w:rPr>
      </w:pPr>
      <w:bookmarkStart w:id="54" w:name="_Toc5499"/>
      <w:r>
        <w:rPr>
          <w:rFonts w:hint="eastAsia"/>
        </w:rPr>
        <w:t>楼板撞击声隔声性能</w:t>
      </w:r>
      <w:bookmarkEnd w:id="54"/>
    </w:p>
    <w:p>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rFonts w:hint="eastAsia"/>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50118-2010</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rFonts w:hint="eastAsia"/>
          <w:sz w:val="21"/>
          <w:szCs w:val="21"/>
          <w:lang w:val="en-US"/>
        </w:rPr>
      </w:pPr>
      <w:r>
        <w:rPr>
          <w:rFonts w:hint="eastAsia"/>
          <w:sz w:val="21"/>
          <w:szCs w:val="21"/>
          <w:lang w:val="en-US"/>
        </w:rPr>
        <w:t>表</w:t>
      </w:r>
      <w:r>
        <w:rPr>
          <w:sz w:val="21"/>
          <w:szCs w:val="21"/>
          <w:lang w:val="en-US"/>
        </w:rPr>
        <w:t xml:space="preserve">6.1 </w:t>
      </w:r>
      <w:r>
        <w:rPr>
          <w:rFonts w:hint="eastAsia"/>
          <w:sz w:val="21"/>
          <w:szCs w:val="21"/>
          <w:lang w:val="en-US"/>
        </w:rPr>
        <w:t>楼板撞击声隔声性能</w:t>
      </w:r>
      <w:r>
        <w:rPr>
          <w:sz w:val="21"/>
          <w:szCs w:val="21"/>
          <w:lang w:val="en-US"/>
        </w:rPr>
        <w:t xml:space="preserve">                    </w:t>
      </w:r>
      <w:r>
        <w:rPr>
          <w:rFonts w:hint="eastAsia"/>
          <w:sz w:val="21"/>
          <w:szCs w:val="21"/>
          <w:lang w:val="en-US"/>
        </w:rPr>
        <w:t>单位：</w:t>
      </w:r>
      <w:r>
        <w:rPr>
          <w:sz w:val="21"/>
          <w:szCs w:val="21"/>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起居室的分户楼板</w:t>
            </w:r>
          </w:p>
        </w:tc>
        <w:tc>
          <w:tcPr>
            <w:shd w:val="clear" w:color="auto" w:fill="E6E6E6"/>
            <w:vAlign w:val="center"/>
          </w:tcPr>
          <w:p>
            <w:r>
              <w:t>构造做法</w:t>
            </w:r>
          </w:p>
        </w:tc>
        <w:tc>
          <w:tcPr>
            <w:gridSpan w:val="5"/>
            <w:vAlign w:val="center"/>
          </w:tcPr>
          <w:p>
            <w:r>
              <w:t>地砖 10mm＋水泥砂浆 5mm＋细石混凝土 40mm＋挤塑型聚苯板(XPS板) 20mm＋微孔聚乙烯复合隔声垫 6mm＋钢筋混凝土 130mm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参照构造做法</w:t>
            </w:r>
          </w:p>
        </w:tc>
        <w:tc>
          <w:tcPr>
            <w:gridSpan w:val="5"/>
            <w:vAlign w:val="center"/>
          </w:tcPr>
          <w:p>
            <w:r>
              <w:t>钢筋混凝土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倍频程频率</w:t>
            </w:r>
          </w:p>
        </w:tc>
        <w:tc>
          <w:tcPr>
            <w:shd w:val="clear" w:color="auto" w:fill="E6E6E6"/>
            <w:vAlign w:val="center"/>
          </w:tcPr>
          <w:p>
            <w:r>
              <w:t>125Hz</w:t>
            </w:r>
          </w:p>
        </w:tc>
        <w:tc>
          <w:tcPr>
            <w:shd w:val="clear" w:color="auto" w:fill="E6E6E6"/>
            <w:vAlign w:val="center"/>
          </w:tcPr>
          <w:p>
            <w:r>
              <w:t>250Hz</w:t>
            </w:r>
          </w:p>
        </w:tc>
        <w:tc>
          <w:tcPr>
            <w:shd w:val="clear" w:color="auto" w:fill="E6E6E6"/>
            <w:vAlign w:val="center"/>
          </w:tcPr>
          <w:p>
            <w:r>
              <w:t>500Hz</w:t>
            </w:r>
          </w:p>
        </w:tc>
        <w:tc>
          <w:tcPr>
            <w:shd w:val="clear" w:color="auto" w:fill="E6E6E6"/>
            <w:vAlign w:val="center"/>
          </w:tcPr>
          <w:p>
            <w:r>
              <w:t>1000Hz</w:t>
            </w:r>
          </w:p>
        </w:tc>
        <w:tc>
          <w:tcPr>
            <w:shd w:val="clear" w:color="auto" w:fill="E6E6E6"/>
            <w:vAlign w:val="center"/>
          </w:tcPr>
          <w:p>
            <w: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29.0</w:t>
            </w:r>
          </w:p>
        </w:tc>
        <w:tc>
          <w:tcPr>
            <w:vAlign w:val="center"/>
          </w:tcPr>
          <w:p>
            <w:r>
              <w:t>36.0</w:t>
            </w:r>
          </w:p>
        </w:tc>
        <w:tc>
          <w:tcPr>
            <w:vAlign w:val="center"/>
          </w:tcPr>
          <w:p>
            <w:r>
              <w:t>39.0</w:t>
            </w:r>
          </w:p>
        </w:tc>
        <w:tc>
          <w:tcPr>
            <w:vAlign w:val="center"/>
          </w:tcPr>
          <w:p>
            <w:r>
              <w:t>46.0</w:t>
            </w:r>
          </w:p>
        </w:tc>
        <w:tc>
          <w:tcPr>
            <w:vAlign w:val="center"/>
          </w:tcPr>
          <w:p>
            <w: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数据来源</w:t>
            </w:r>
          </w:p>
        </w:tc>
        <w:tc>
          <w:tcPr>
            <w:gridSpan w:val="5"/>
            <w:vAlign w:val="center"/>
          </w:tcPr>
          <w:p>
            <w:r>
              <w:t>《建筑隔声与吸声构造》08J931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计权规范化撞击声压级</w:t>
            </w:r>
          </w:p>
        </w:tc>
        <w:tc>
          <w:tcPr>
            <w:gridSpan w:val="5"/>
            <w:vAlign w:val="center"/>
          </w:tcPr>
          <w:p>
            <w: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标准限值</w:t>
            </w:r>
          </w:p>
        </w:tc>
        <w:tc>
          <w:tcPr>
            <w:gridSpan w:val="5"/>
            <w:vAlign w:val="center"/>
          </w:tcPr>
          <w:p>
            <w:r>
              <w:t>低限:&lt;75,高要求:&lt;65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rPr>
          <w:rFonts w:hint="eastAsia"/>
          <w:lang w:val="en-US"/>
        </w:rPr>
      </w:pPr>
      <w:bookmarkStart w:id="55" w:name="撞击声隔声"/>
      <w:bookmarkEnd w:id="55"/>
    </w:p>
    <w:p>
      <w:pPr>
        <w:rPr>
          <w:rFonts w:hint="eastAsia"/>
          <w:sz w:val="21"/>
          <w:szCs w:val="21"/>
          <w:lang w:val="en-US"/>
        </w:rPr>
      </w:pPr>
    </w:p>
    <w:bookmarkEnd w:id="30"/>
    <w:p>
      <w:pPr>
        <w:pStyle w:val="2"/>
        <w:ind w:left="669" w:hanging="669"/>
        <w:rPr>
          <w:rFonts w:hint="eastAsia"/>
          <w:kern w:val="2"/>
        </w:rPr>
      </w:pPr>
      <w:bookmarkStart w:id="56" w:name="_Toc26230"/>
      <w:r>
        <w:rPr>
          <w:rFonts w:hint="eastAsia"/>
          <w:kern w:val="2"/>
        </w:rPr>
        <w:t>星级技术要求</w:t>
      </w:r>
      <w:bookmarkEnd w:id="56"/>
    </w:p>
    <w:p>
      <w:pPr>
        <w:pStyle w:val="4"/>
        <w:rPr>
          <w:rFonts w:hint="eastAsia"/>
        </w:rPr>
      </w:pPr>
      <w:bookmarkStart w:id="57" w:name="_Toc13778"/>
      <w:r>
        <w:rPr>
          <w:rFonts w:hint="eastAsia"/>
        </w:rPr>
        <w:t>外墙-室外与卧室之间</w:t>
      </w:r>
      <w:bookmarkEnd w:id="57"/>
    </w:p>
    <w:p>
      <w:pPr>
        <w:pStyle w:val="3"/>
        <w:ind w:firstLine="420"/>
        <w:rPr>
          <w:rFonts w:hint="eastAsia"/>
          <w:lang w:val="en-US"/>
        </w:rPr>
      </w:pPr>
      <w:r>
        <w:rPr>
          <w:rFonts w:hint="eastAsia"/>
          <w:lang w:val="en-US"/>
        </w:rPr>
        <w:t>室外与卧室之间的空气声隔声性能可以通过外墙、外窗的组合隔声量来判定。组合墙隔声量计算通过每个构件的面积和隔声量求得：</w:t>
      </w:r>
    </w:p>
    <w:p>
      <w:pPr>
        <w:pStyle w:val="3"/>
        <w:spacing w:before="240"/>
        <w:ind w:firstLine="2100" w:firstLineChars="1000"/>
        <w:rPr>
          <w:rFonts w:hint="eastAsia"/>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pPr>
        <w:pStyle w:val="3"/>
        <w:spacing w:before="240"/>
        <w:ind w:left="180" w:leftChars="100" w:firstLine="420"/>
        <w:rPr>
          <w:rFonts w:hint="eastAsia"/>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pPr>
        <w:ind w:firstLine="200" w:firstLineChars="100"/>
        <w:rPr>
          <w:rFonts w:hint="eastAsia"/>
        </w:rPr>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pPr>
        <w:pStyle w:val="3"/>
        <w:adjustRightInd w:val="0"/>
        <w:spacing w:line="276" w:lineRule="auto"/>
        <w:ind w:left="720" w:leftChars="400" w:firstLine="420"/>
        <w:rPr>
          <w:rFonts w:hint="eastAsia"/>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rFonts w:hint="eastAsia"/>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pPr>
        <w:spacing w:before="240"/>
        <w:jc w:val="right"/>
        <w:rPr>
          <w:rFonts w:hint="eastAsia"/>
          <w:sz w:val="21"/>
          <w:szCs w:val="21"/>
          <w:lang w:val="en-US"/>
        </w:rPr>
      </w:pPr>
      <w:r>
        <w:rPr>
          <w:rFonts w:hint="eastAsia"/>
          <w:sz w:val="21"/>
          <w:szCs w:val="21"/>
          <w:lang w:val="en-US"/>
        </w:rPr>
        <w:t>表7.1</w:t>
      </w:r>
      <w:r>
        <w:rPr>
          <w:sz w:val="21"/>
          <w:szCs w:val="21"/>
          <w:lang w:val="en-US"/>
        </w:rPr>
        <w:t xml:space="preserve"> </w:t>
      </w:r>
      <w:r>
        <w:rPr>
          <w:rFonts w:hint="eastAsia"/>
          <w:sz w:val="21"/>
          <w:szCs w:val="21"/>
          <w:lang w:val="en-US"/>
        </w:rPr>
        <w:t>室外与卧室之间组合墙</w:t>
      </w:r>
      <w:r>
        <w:rPr>
          <w:sz w:val="21"/>
          <w:szCs w:val="21"/>
          <w:lang w:val="en-US"/>
        </w:rPr>
        <w:t>的空气声隔声性能</w:t>
      </w:r>
      <w:r>
        <w:rPr>
          <w:rFonts w:hint="eastAsia"/>
          <w:sz w:val="21"/>
          <w:szCs w:val="21"/>
          <w:lang w:val="en-US"/>
        </w:rPr>
        <w:t xml:space="preserve"> </w:t>
      </w:r>
      <w:r>
        <w:rPr>
          <w:sz w:val="21"/>
          <w:szCs w:val="21"/>
          <w:lang w:val="en-US"/>
        </w:rPr>
        <w:t xml:space="preserve">          </w:t>
      </w:r>
      <w:r>
        <w:rPr>
          <w:rFonts w:hint="eastAsia"/>
          <w:sz w:val="21"/>
          <w:szCs w:val="21"/>
          <w:lang w:val="en-US"/>
        </w:rPr>
        <w:t>单位：</w:t>
      </w:r>
      <w:r>
        <w:rPr>
          <w:sz w:val="21"/>
          <w:szCs w:val="21"/>
          <w:lang w:val="en-US"/>
        </w:rPr>
        <w:t>dB</w:t>
      </w:r>
    </w:p>
    <w:p>
      <w:pPr>
        <w:jc w:val="center"/>
        <w:rPr>
          <w:rFonts w:hint="eastAsia"/>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p>
      <w:pPr>
        <w:pStyle w:val="3"/>
        <w:jc w:val="center"/>
        <w:rPr>
          <w:rFonts w:hint="eastAsia"/>
          <w:lang w:val="en-US"/>
        </w:rPr>
      </w:pPr>
      <w:bookmarkStart w:id="58" w:name="组合墙星级评价表"/>
      <w:bookmarkEnd w:id="58"/>
    </w:p>
    <w:p>
      <w:pPr>
        <w:pStyle w:val="3"/>
        <w:ind w:firstLine="540" w:firstLineChars="300"/>
        <w:jc w:val="left"/>
        <w:rPr>
          <w:rFonts w:hint="eastAsia"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pPr>
        <w:pStyle w:val="4"/>
        <w:rPr>
          <w:rFonts w:hint="eastAsia"/>
        </w:rPr>
      </w:pPr>
      <w:bookmarkStart w:id="59" w:name="_Toc28552"/>
      <w:r>
        <w:rPr>
          <w:rFonts w:hint="eastAsia"/>
        </w:rPr>
        <w:t>分户墙</w:t>
      </w:r>
      <w:r>
        <w:t>-</w:t>
      </w:r>
      <w:r>
        <w:rPr>
          <w:rFonts w:hint="eastAsia"/>
        </w:rPr>
        <w:t>两侧卧室之间</w:t>
      </w:r>
      <w:bookmarkEnd w:id="59"/>
    </w:p>
    <w:p>
      <w:pPr>
        <w:pStyle w:val="3"/>
        <w:ind w:firstLine="420"/>
        <w:rPr>
          <w:rFonts w:hint="eastAsia"/>
        </w:rPr>
      </w:pPr>
      <w:r>
        <w:t>分户墙两侧卧室之间的空气声隔声性能</w:t>
      </w:r>
      <w:r>
        <w:rPr>
          <w:rFonts w:hint="eastAsia"/>
        </w:rPr>
        <w:t>如下表所示：</w:t>
      </w:r>
    </w:p>
    <w:p>
      <w:pPr>
        <w:spacing w:before="240"/>
        <w:jc w:val="right"/>
        <w:rPr>
          <w:rFonts w:hint="eastAsia"/>
          <w:sz w:val="21"/>
          <w:szCs w:val="21"/>
          <w:lang w:val="en-US"/>
        </w:rPr>
      </w:pPr>
      <w:r>
        <w:rPr>
          <w:rFonts w:hint="eastAsia"/>
          <w:sz w:val="21"/>
          <w:szCs w:val="21"/>
          <w:lang w:val="en-US"/>
        </w:rPr>
        <w:t>表7.2</w:t>
      </w:r>
      <w:r>
        <w:rPr>
          <w:sz w:val="21"/>
          <w:szCs w:val="21"/>
          <w:lang w:val="en-US"/>
        </w:rPr>
        <w:t xml:space="preserve"> 分户墙两侧卧室之间的空气声隔声性能</w:t>
      </w:r>
      <w:r>
        <w:rPr>
          <w:rFonts w:hint="eastAsia"/>
          <w:sz w:val="21"/>
          <w:szCs w:val="21"/>
          <w:lang w:val="en-US"/>
        </w:rPr>
        <w:t xml:space="preserve"> </w:t>
      </w:r>
      <w:r>
        <w:rPr>
          <w:sz w:val="21"/>
          <w:szCs w:val="21"/>
          <w:lang w:val="en-US"/>
        </w:rPr>
        <w:t xml:space="preserve">            </w:t>
      </w:r>
      <w:r>
        <w:rPr>
          <w:rFonts w:hint="eastAsia"/>
          <w:sz w:val="21"/>
          <w:szCs w:val="21"/>
          <w:lang w:val="en-US"/>
        </w:rPr>
        <w:t>单位：</w:t>
      </w:r>
      <w:r>
        <w:rPr>
          <w:sz w:val="21"/>
          <w:szCs w:val="21"/>
          <w:lang w:val="en-US"/>
        </w:rPr>
        <w:t>dB</w:t>
      </w:r>
    </w:p>
    <w:p>
      <w:pPr>
        <w:jc w:val="center"/>
        <w:rPr>
          <w:rFonts w:hint="eastAsia"/>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pPr>
        <w:pStyle w:val="3"/>
        <w:ind w:firstLine="420"/>
        <w:jc w:val="center"/>
        <w:rPr>
          <w:rFonts w:hint="eastAsia"/>
          <w:lang w:val="en-US"/>
        </w:rPr>
      </w:pPr>
      <w:bookmarkStart w:id="60" w:name="分户墙星级评价表"/>
      <w:bookmarkEnd w:id="60"/>
    </w:p>
    <w:p>
      <w:pPr>
        <w:pStyle w:val="3"/>
        <w:ind w:firstLine="420"/>
        <w:rPr>
          <w:rFonts w:hint="eastAsia" w:ascii="黑体" w:hAnsi="黑体" w:eastAsia="黑体"/>
          <w:sz w:val="18"/>
          <w:szCs w:val="18"/>
          <w:lang w:val="en-US"/>
        </w:rPr>
      </w:pPr>
      <w:r>
        <w:rPr>
          <w:rFonts w:ascii="黑体" w:hAnsi="黑体" w:eastAsia="黑体"/>
          <w:sz w:val="18"/>
          <w:szCs w:val="18"/>
          <w:lang w:val="en-US"/>
        </w:rPr>
        <w:t>注：此处若无表格，代表本项目中不存在两户卧室相邻的情况，无需对此项进行评价。</w:t>
      </w:r>
    </w:p>
    <w:p>
      <w:pPr>
        <w:pStyle w:val="2"/>
        <w:ind w:left="669" w:hanging="669"/>
        <w:rPr>
          <w:rFonts w:hint="eastAsia"/>
          <w:kern w:val="2"/>
        </w:rPr>
      </w:pPr>
      <w:bookmarkStart w:id="61" w:name="_Toc16113"/>
      <w:r>
        <w:rPr>
          <w:rFonts w:hint="eastAsia"/>
          <w:kern w:val="2"/>
        </w:rPr>
        <w:t>结论</w:t>
      </w:r>
      <w:bookmarkEnd w:id="61"/>
    </w:p>
    <w:p>
      <w:pPr>
        <w:pStyle w:val="3"/>
        <w:ind w:firstLine="420" w:firstLineChars="200"/>
        <w:rPr>
          <w:rFonts w:hint="eastAsia"/>
        </w:rPr>
      </w:pPr>
      <w:r>
        <w:rPr>
          <w:rFonts w:hint="eastAsia"/>
        </w:rPr>
        <w:t>根据上述计算可知，本项目围护</w:t>
      </w:r>
      <w:r>
        <w:t>结构隔声结果</w:t>
      </w:r>
      <w:r>
        <w:rPr>
          <w:rFonts w:hint="eastAsia"/>
        </w:rPr>
        <w:t>如下表所示：</w:t>
      </w:r>
    </w:p>
    <w:p>
      <w:pPr>
        <w:spacing w:before="240"/>
        <w:jc w:val="right"/>
        <w:rPr>
          <w:rFonts w:hint="eastAsia"/>
          <w:sz w:val="21"/>
          <w:szCs w:val="21"/>
          <w:lang w:val="en-US"/>
        </w:rPr>
      </w:pPr>
      <w:r>
        <w:rPr>
          <w:rFonts w:hint="eastAsia"/>
          <w:sz w:val="21"/>
          <w:szCs w:val="21"/>
          <w:lang w:val="en-US"/>
        </w:rPr>
        <w:t>表</w:t>
      </w:r>
      <w:r>
        <w:rPr>
          <w:sz w:val="21"/>
          <w:szCs w:val="21"/>
          <w:lang w:val="en-US"/>
        </w:rPr>
        <w:t>8</w:t>
      </w:r>
      <w:r>
        <w:rPr>
          <w:rFonts w:hint="eastAsia"/>
          <w:sz w:val="21"/>
          <w:szCs w:val="21"/>
          <w:lang w:val="en-US"/>
        </w:rPr>
        <w:t>.</w:t>
      </w:r>
      <w:r>
        <w:rPr>
          <w:sz w:val="21"/>
          <w:szCs w:val="21"/>
          <w:lang w:val="en-US"/>
        </w:rPr>
        <w:t>1</w:t>
      </w:r>
      <w:r>
        <w:rPr>
          <w:rFonts w:hint="eastAsia"/>
          <w:sz w:val="21"/>
          <w:szCs w:val="21"/>
          <w:lang w:val="en-US"/>
        </w:rPr>
        <w:t xml:space="preserve">构件空气声隔声性能结果统计   </w:t>
      </w:r>
      <w:r>
        <w:rPr>
          <w:sz w:val="21"/>
          <w:szCs w:val="21"/>
          <w:lang w:val="en-US"/>
        </w:rPr>
        <w:t xml:space="preserve">                    </w:t>
      </w:r>
      <w:r>
        <w:rPr>
          <w:rFonts w:hint="eastAsia"/>
          <w:sz w:val="21"/>
          <w:szCs w:val="21"/>
          <w:lang w:val="en-US"/>
        </w:rPr>
        <w:t>单位：</w:t>
      </w:r>
      <w:r>
        <w:rPr>
          <w:sz w:val="21"/>
          <w:szCs w:val="21"/>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起居室外墙</w:t>
            </w:r>
          </w:p>
        </w:tc>
        <w:tc>
          <w:tcPr>
            <w:vAlign w:val="center"/>
          </w:tcPr>
          <w:p>
            <w:r>
              <w:rPr>
                <w:b/>
              </w:rPr>
              <w:t>45</w:t>
            </w:r>
          </w:p>
        </w:tc>
        <w:tc>
          <w:tcPr>
            <w:vAlign w:val="center"/>
          </w:tcPr>
          <w:p>
            <w:r>
              <w:t>低限:≥45,高要求:≥50</w:t>
            </w:r>
          </w:p>
        </w:tc>
        <w:tc>
          <w:tcPr>
            <w:vAlign w:val="center"/>
          </w:tcPr>
          <w:p>
            <w:r>
              <w:t>满足低限要求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分户墙</w:t>
            </w:r>
          </w:p>
        </w:tc>
        <w:tc>
          <w:tcPr>
            <w:vAlign w:val="center"/>
          </w:tcPr>
          <w:p>
            <w:r>
              <w:rPr>
                <w:b/>
              </w:rPr>
              <w:t>50</w:t>
            </w:r>
          </w:p>
        </w:tc>
        <w:tc>
          <w:tcPr>
            <w:vAlign w:val="center"/>
          </w:tcPr>
          <w:p>
            <w:r>
              <w:t>低限:&gt;45,高要求:&gt;50</w:t>
            </w:r>
          </w:p>
        </w:tc>
        <w:tc>
          <w:tcPr>
            <w:vAlign w:val="center"/>
          </w:tcPr>
          <w:p>
            <w:r>
              <w:t>满足平均要求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分户楼板</w:t>
            </w:r>
          </w:p>
        </w:tc>
        <w:tc>
          <w:tcPr>
            <w:vAlign w:val="center"/>
          </w:tcPr>
          <w:p>
            <w:r>
              <w:rPr>
                <w:b/>
              </w:rPr>
              <w:t>51</w:t>
            </w:r>
          </w:p>
        </w:tc>
        <w:tc>
          <w:tcPr>
            <w:vAlign w:val="center"/>
          </w:tcPr>
          <w:p>
            <w:r>
              <w:t>低限:&gt;45,高要求:&gt;50</w:t>
            </w:r>
          </w:p>
        </w:tc>
        <w:tc>
          <w:tcPr>
            <w:vAlign w:val="center"/>
          </w:tcPr>
          <w:p>
            <w: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户门</w:t>
            </w:r>
          </w:p>
        </w:tc>
        <w:tc>
          <w:tcPr>
            <w:vAlign w:val="center"/>
          </w:tcPr>
          <w:p>
            <w:r>
              <w:rPr>
                <w:b/>
              </w:rPr>
              <w:t>33</w:t>
            </w:r>
          </w:p>
        </w:tc>
        <w:tc>
          <w:tcPr>
            <w:vAlign w:val="center"/>
          </w:tcPr>
          <w:p>
            <w:r>
              <w:t>低限:≥25,高要求:≥30</w:t>
            </w:r>
          </w:p>
        </w:tc>
        <w:tc>
          <w:tcPr>
            <w:vAlign w:val="center"/>
          </w:tcPr>
          <w:p>
            <w: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住宅建筑中其他外窗</w:t>
            </w:r>
          </w:p>
        </w:tc>
        <w:tc>
          <w:tcPr>
            <w:vAlign w:val="center"/>
          </w:tcPr>
          <w:p>
            <w:r>
              <w:rPr>
                <w:b/>
              </w:rPr>
              <w:t>33</w:t>
            </w:r>
          </w:p>
        </w:tc>
        <w:tc>
          <w:tcPr>
            <w:vAlign w:val="center"/>
          </w:tcPr>
          <w:p>
            <w:r>
              <w:t>低限:≥25,高要求:≥30</w:t>
            </w:r>
          </w:p>
        </w:tc>
        <w:tc>
          <w:tcPr>
            <w:vAlign w:val="center"/>
          </w:tcPr>
          <w:p>
            <w:r>
              <w:t>满足高要求</w:t>
            </w:r>
          </w:p>
        </w:tc>
      </w:tr>
    </w:tbl>
    <w:p>
      <w:pPr>
        <w:rPr>
          <w:rFonts w:hint="eastAsia"/>
        </w:rPr>
      </w:pPr>
      <w:bookmarkStart w:id="62" w:name="构件隔声性能统计"/>
      <w:bookmarkEnd w:id="62"/>
    </w:p>
    <w:p>
      <w:pPr>
        <w:jc w:val="right"/>
        <w:rPr>
          <w:rFonts w:hint="eastAsia"/>
          <w:sz w:val="21"/>
          <w:szCs w:val="21"/>
          <w:lang w:val="en-US"/>
        </w:rPr>
      </w:pPr>
      <w:r>
        <w:rPr>
          <w:rFonts w:hint="eastAsia"/>
          <w:sz w:val="21"/>
          <w:szCs w:val="21"/>
          <w:lang w:val="en-US"/>
        </w:rPr>
        <w:t>表</w:t>
      </w:r>
      <w:r>
        <w:rPr>
          <w:sz w:val="21"/>
          <w:szCs w:val="21"/>
          <w:lang w:val="en-US"/>
        </w:rPr>
        <w:t>8.2</w:t>
      </w:r>
      <w:r>
        <w:rPr>
          <w:rFonts w:hint="eastAsia"/>
          <w:sz w:val="21"/>
          <w:szCs w:val="21"/>
          <w:lang w:val="en-US"/>
        </w:rPr>
        <w:t>楼板撞击声</w:t>
      </w:r>
      <w:r>
        <w:rPr>
          <w:sz w:val="21"/>
          <w:szCs w:val="21"/>
          <w:lang w:val="en-US"/>
        </w:rPr>
        <w:t>隔声性能统计</w:t>
      </w:r>
      <w:r>
        <w:rPr>
          <w:rFonts w:hint="eastAsia"/>
          <w:sz w:val="21"/>
          <w:szCs w:val="21"/>
          <w:lang w:val="en-US"/>
        </w:rPr>
        <w:t xml:space="preserve">     </w:t>
      </w:r>
      <w:r>
        <w:rPr>
          <w:sz w:val="21"/>
          <w:szCs w:val="21"/>
          <w:lang w:val="en-US"/>
        </w:rPr>
        <w:t xml:space="preserve">        </w:t>
      </w:r>
      <w:r>
        <w:rPr>
          <w:rFonts w:hint="eastAsia"/>
          <w:sz w:val="21"/>
          <w:szCs w:val="21"/>
          <w:lang w:val="en-US"/>
        </w:rPr>
        <w:t xml:space="preserve">              单位：</w:t>
      </w:r>
      <w:r>
        <w:rPr>
          <w:sz w:val="21"/>
          <w:szCs w:val="21"/>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起居室的分户楼板</w:t>
            </w:r>
          </w:p>
        </w:tc>
        <w:tc>
          <w:tcPr>
            <w:vAlign w:val="center"/>
          </w:tcPr>
          <w:p>
            <w:r>
              <w:rPr>
                <w:b/>
              </w:rPr>
              <w:t>55</w:t>
            </w:r>
          </w:p>
        </w:tc>
        <w:tc>
          <w:tcPr>
            <w:vAlign w:val="center"/>
          </w:tcPr>
          <w:p>
            <w:r>
              <w:t>低限:&lt;75,高要求:&lt;65</w:t>
            </w:r>
          </w:p>
        </w:tc>
        <w:tc>
          <w:tcPr>
            <w:vAlign w:val="center"/>
          </w:tcPr>
          <w:p>
            <w:r>
              <w:t>满足高要求</w:t>
            </w:r>
          </w:p>
        </w:tc>
      </w:tr>
    </w:tbl>
    <w:p>
      <w:pPr>
        <w:rPr>
          <w:rFonts w:hint="eastAsia"/>
        </w:rPr>
      </w:pPr>
      <w:bookmarkStart w:id="63" w:name="撞击声隔声性能统计"/>
      <w:bookmarkEnd w:id="63"/>
    </w:p>
    <w:p>
      <w:pPr>
        <w:jc w:val="right"/>
        <w:rPr>
          <w:rFonts w:hint="eastAsia"/>
          <w:lang w:val="en-US"/>
        </w:rPr>
      </w:pPr>
      <w:r>
        <w:rPr>
          <w:rFonts w:hint="eastAsia"/>
          <w:sz w:val="21"/>
          <w:szCs w:val="21"/>
          <w:lang w:val="en-US"/>
        </w:rPr>
        <w:t>表</w:t>
      </w:r>
      <w:r>
        <w:rPr>
          <w:sz w:val="21"/>
          <w:szCs w:val="21"/>
          <w:lang w:val="en-US"/>
        </w:rPr>
        <w:t>8.3</w:t>
      </w:r>
      <w:r>
        <w:rPr>
          <w:rFonts w:hint="eastAsia"/>
          <w:sz w:val="21"/>
          <w:szCs w:val="21"/>
          <w:lang w:val="en-US"/>
        </w:rPr>
        <w:t>住宅建筑</w:t>
      </w:r>
      <w:r>
        <w:rPr>
          <w:sz w:val="21"/>
          <w:szCs w:val="21"/>
          <w:lang w:val="en-US"/>
        </w:rPr>
        <w:t>隔声性能</w:t>
      </w:r>
      <w:r>
        <w:rPr>
          <w:rFonts w:hint="eastAsia"/>
          <w:sz w:val="21"/>
          <w:szCs w:val="21"/>
          <w:lang w:val="en-US"/>
        </w:rPr>
        <w:t xml:space="preserve">星级评价       </w:t>
      </w:r>
      <w:r>
        <w:rPr>
          <w:sz w:val="21"/>
          <w:szCs w:val="21"/>
          <w:lang w:val="en-US"/>
        </w:rPr>
        <w:t xml:space="preserve">      </w:t>
      </w:r>
      <w:r>
        <w:rPr>
          <w:rFonts w:hint="eastAsia"/>
          <w:sz w:val="21"/>
          <w:szCs w:val="21"/>
          <w:lang w:val="en-US"/>
        </w:rPr>
        <w:t xml:space="preserve">            单位：</w:t>
      </w:r>
      <w:r>
        <w:rPr>
          <w:sz w:val="21"/>
          <w:szCs w:val="21"/>
          <w:lang w:val="en-US"/>
        </w:rPr>
        <w:t>dB</w:t>
      </w:r>
    </w:p>
    <w:tbl>
      <w:tblPr>
        <w:tblStyle w:val="21"/>
        <w:tblW w:w="934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24"/>
        <w:gridCol w:w="2547"/>
        <w:gridCol w:w="2324"/>
        <w:gridCol w:w="215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24" w:type="dxa"/>
            <w:shd w:val="clear" w:color="auto" w:fill="E6E6E6"/>
            <w:vAlign w:val="center"/>
          </w:tcPr>
          <w:p>
            <w:pPr>
              <w:jc w:val="center"/>
              <w:rPr>
                <w:rFonts w:hint="eastAsia"/>
                <w:sz w:val="21"/>
                <w:szCs w:val="21"/>
              </w:rPr>
            </w:pPr>
            <w:r>
              <w:rPr>
                <w:sz w:val="21"/>
                <w:szCs w:val="21"/>
              </w:rPr>
              <w:t>构件</w:t>
            </w:r>
          </w:p>
        </w:tc>
        <w:tc>
          <w:tcPr>
            <w:tcW w:w="2547" w:type="dxa"/>
            <w:shd w:val="clear" w:color="auto" w:fill="E6E6E6"/>
          </w:tcPr>
          <w:p>
            <w:pPr>
              <w:jc w:val="center"/>
              <w:rPr>
                <w:rFonts w:hint="eastAsia"/>
                <w:sz w:val="21"/>
                <w:szCs w:val="21"/>
              </w:rPr>
            </w:pPr>
            <w:r>
              <w:rPr>
                <w:sz w:val="21"/>
                <w:szCs w:val="21"/>
              </w:rPr>
              <w:t>单值评价量+频谱修正量</w:t>
            </w:r>
          </w:p>
        </w:tc>
        <w:tc>
          <w:tcPr>
            <w:tcW w:w="2324" w:type="dxa"/>
            <w:shd w:val="clear" w:color="auto" w:fill="E6E6E6"/>
            <w:vAlign w:val="center"/>
          </w:tcPr>
          <w:p>
            <w:pPr>
              <w:jc w:val="center"/>
              <w:rPr>
                <w:rFonts w:hint="eastAsia"/>
                <w:sz w:val="21"/>
                <w:szCs w:val="21"/>
              </w:rPr>
            </w:pPr>
            <w:r>
              <w:rPr>
                <w:sz w:val="21"/>
                <w:szCs w:val="21"/>
              </w:rPr>
              <w:t>标准限值</w:t>
            </w:r>
          </w:p>
        </w:tc>
        <w:tc>
          <w:tcPr>
            <w:tcW w:w="2154" w:type="dxa"/>
            <w:shd w:val="clear" w:color="auto" w:fill="E6E6E6"/>
            <w:vAlign w:val="center"/>
          </w:tcPr>
          <w:p>
            <w:pPr>
              <w:jc w:val="center"/>
              <w:rPr>
                <w:rFonts w:hint="eastAsia"/>
                <w:sz w:val="21"/>
                <w:szCs w:val="21"/>
              </w:rPr>
            </w:pPr>
            <w:r>
              <w:rPr>
                <w:sz w:val="21"/>
                <w:szCs w:val="21"/>
              </w:rPr>
              <w:t>结论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2" w:hRule="atLeast"/>
        </w:trPr>
        <w:tc>
          <w:tcPr>
            <w:tcW w:w="2324" w:type="dxa"/>
            <w:shd w:val="clear" w:color="auto" w:fill="E6E6E6"/>
            <w:vAlign w:val="center"/>
          </w:tcPr>
          <w:p>
            <w:pPr>
              <w:jc w:val="center"/>
              <w:rPr>
                <w:rFonts w:hint="eastAsia"/>
                <w:sz w:val="21"/>
                <w:szCs w:val="21"/>
              </w:rPr>
            </w:pPr>
            <w:r>
              <w:rPr>
                <w:rFonts w:hint="eastAsia"/>
                <w:sz w:val="21"/>
                <w:szCs w:val="21"/>
              </w:rPr>
              <w:t>室外与卧室之间</w:t>
            </w:r>
          </w:p>
        </w:tc>
        <w:tc>
          <w:tcPr>
            <w:tcW w:w="2547" w:type="dxa"/>
            <w:vAlign w:val="center"/>
          </w:tcPr>
          <w:p>
            <w:pPr>
              <w:jc w:val="center"/>
              <w:rPr>
                <w:rFonts w:hint="eastAsia"/>
                <w:b/>
                <w:sz w:val="21"/>
                <w:szCs w:val="21"/>
              </w:rPr>
            </w:pPr>
            <w:bookmarkStart w:id="64" w:name="组合墙星级评价隔声量"/>
            <w:r>
              <w:rPr>
                <w:b/>
                <w:sz w:val="21"/>
                <w:szCs w:val="21"/>
              </w:rPr>
              <w:t>--</w:t>
            </w:r>
            <w:bookmarkEnd w:id="64"/>
          </w:p>
        </w:tc>
        <w:tc>
          <w:tcPr>
            <w:tcW w:w="2324" w:type="dxa"/>
            <w:vAlign w:val="center"/>
          </w:tcPr>
          <w:p>
            <w:pPr>
              <w:rPr>
                <w:rFonts w:hint="eastAsia"/>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2154" w:type="dxa"/>
            <w:vAlign w:val="center"/>
          </w:tcPr>
          <w:p>
            <w:pPr>
              <w:jc w:val="center"/>
              <w:rPr>
                <w:rFonts w:hint="eastAsia"/>
                <w:b/>
                <w:sz w:val="21"/>
                <w:szCs w:val="21"/>
                <w:highlight w:val="yellow"/>
                <w:lang w:val="en-US"/>
              </w:rPr>
            </w:pPr>
            <w:bookmarkStart w:id="65" w:name="组合墙星级评价结论"/>
            <w:r>
              <w:rPr>
                <w:b/>
                <w:sz w:val="21"/>
                <w:szCs w:val="21"/>
              </w:rPr>
              <w:t>--</w:t>
            </w:r>
            <w:bookmarkEnd w:id="6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2324" w:type="dxa"/>
            <w:shd w:val="clear" w:color="auto" w:fill="E6E6E6"/>
            <w:vAlign w:val="center"/>
          </w:tcPr>
          <w:p>
            <w:pPr>
              <w:jc w:val="center"/>
              <w:rPr>
                <w:rFonts w:hint="eastAsia"/>
                <w:sz w:val="21"/>
                <w:szCs w:val="21"/>
              </w:rPr>
            </w:pPr>
            <w:r>
              <w:rPr>
                <w:rFonts w:hint="eastAsia"/>
                <w:sz w:val="21"/>
                <w:szCs w:val="21"/>
              </w:rPr>
              <w:t>分户墙两侧卧室之间</w:t>
            </w:r>
          </w:p>
        </w:tc>
        <w:tc>
          <w:tcPr>
            <w:tcW w:w="2547" w:type="dxa"/>
            <w:vAlign w:val="center"/>
          </w:tcPr>
          <w:p>
            <w:pPr>
              <w:jc w:val="center"/>
              <w:rPr>
                <w:rFonts w:hint="eastAsia"/>
                <w:b/>
                <w:sz w:val="21"/>
                <w:szCs w:val="21"/>
              </w:rPr>
            </w:pPr>
            <w:bookmarkStart w:id="66" w:name="分户墙星级评价隔声量"/>
            <w:r>
              <w:rPr>
                <w:b/>
                <w:sz w:val="21"/>
                <w:szCs w:val="21"/>
              </w:rPr>
              <w:t>--</w:t>
            </w:r>
            <w:bookmarkEnd w:id="66"/>
          </w:p>
        </w:tc>
        <w:tc>
          <w:tcPr>
            <w:tcW w:w="2324" w:type="dxa"/>
            <w:vAlign w:val="center"/>
          </w:tcPr>
          <w:p>
            <w:pPr>
              <w:rPr>
                <w:rFonts w:hint="eastAsia"/>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2154" w:type="dxa"/>
            <w:vAlign w:val="center"/>
          </w:tcPr>
          <w:p>
            <w:pPr>
              <w:jc w:val="center"/>
              <w:rPr>
                <w:rFonts w:hint="eastAsia"/>
                <w:b/>
                <w:sz w:val="21"/>
                <w:szCs w:val="21"/>
                <w:highlight w:val="yellow"/>
                <w:lang w:val="en-US"/>
              </w:rPr>
            </w:pPr>
            <w:bookmarkStart w:id="67" w:name="分户墙星级评价结论"/>
            <w:r>
              <w:rPr>
                <w:b/>
                <w:sz w:val="21"/>
                <w:szCs w:val="21"/>
              </w:rPr>
              <w:t>--</w:t>
            </w:r>
            <w:bookmarkEnd w:id="6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324" w:type="dxa"/>
            <w:shd w:val="clear" w:color="auto" w:fill="E7E6E6" w:themeFill="background2"/>
            <w:vAlign w:val="center"/>
          </w:tcPr>
          <w:p>
            <w:pPr>
              <w:jc w:val="center"/>
              <w:rPr>
                <w:rFonts w:hint="eastAsia"/>
                <w:sz w:val="21"/>
                <w:szCs w:val="21"/>
              </w:rPr>
            </w:pPr>
            <w:r>
              <w:rPr>
                <w:sz w:val="21"/>
                <w:szCs w:val="21"/>
              </w:rPr>
              <w:t>构件</w:t>
            </w:r>
          </w:p>
        </w:tc>
        <w:tc>
          <w:tcPr>
            <w:tcW w:w="2547" w:type="dxa"/>
            <w:shd w:val="clear" w:color="auto" w:fill="E7E6E6" w:themeFill="background2"/>
          </w:tcPr>
          <w:p>
            <w:pPr>
              <w:jc w:val="center"/>
              <w:rPr>
                <w:rFonts w:hint="eastAsia"/>
                <w:b/>
                <w:sz w:val="21"/>
                <w:szCs w:val="21"/>
              </w:rPr>
            </w:pPr>
            <w:r>
              <w:rPr>
                <w:sz w:val="21"/>
                <w:szCs w:val="21"/>
              </w:rPr>
              <w:t>计权规范化撞击声压级</w:t>
            </w:r>
          </w:p>
        </w:tc>
        <w:tc>
          <w:tcPr>
            <w:tcW w:w="2324" w:type="dxa"/>
            <w:shd w:val="clear" w:color="auto" w:fill="E7E6E6" w:themeFill="background2"/>
            <w:vAlign w:val="center"/>
          </w:tcPr>
          <w:p>
            <w:pPr>
              <w:jc w:val="center"/>
              <w:rPr>
                <w:rFonts w:hint="eastAsia"/>
                <w:sz w:val="21"/>
                <w:szCs w:val="21"/>
              </w:rPr>
            </w:pPr>
            <w:r>
              <w:rPr>
                <w:sz w:val="21"/>
                <w:szCs w:val="21"/>
              </w:rPr>
              <w:t>标准限值</w:t>
            </w:r>
          </w:p>
        </w:tc>
        <w:tc>
          <w:tcPr>
            <w:tcW w:w="2154" w:type="dxa"/>
            <w:shd w:val="clear" w:color="auto" w:fill="E7E6E6" w:themeFill="background2"/>
            <w:vAlign w:val="center"/>
          </w:tcPr>
          <w:p>
            <w:pPr>
              <w:jc w:val="center"/>
              <w:rPr>
                <w:rFonts w:hint="eastAsia"/>
                <w:kern w:val="2"/>
                <w:sz w:val="21"/>
                <w:szCs w:val="21"/>
                <w:highlight w:val="yellow"/>
                <w:lang w:val="en-US"/>
              </w:rPr>
            </w:pPr>
            <w:r>
              <w:rPr>
                <w:sz w:val="21"/>
                <w:szCs w:val="21"/>
              </w:rPr>
              <w:t>结论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9" w:hRule="atLeast"/>
        </w:trPr>
        <w:tc>
          <w:tcPr>
            <w:tcW w:w="2324" w:type="dxa"/>
            <w:shd w:val="clear" w:color="auto" w:fill="E6E6E6"/>
            <w:vAlign w:val="center"/>
          </w:tcPr>
          <w:p>
            <w:pPr>
              <w:jc w:val="center"/>
              <w:rPr>
                <w:rFonts w:hint="eastAsia"/>
                <w:sz w:val="21"/>
                <w:szCs w:val="21"/>
              </w:rPr>
            </w:pPr>
            <w:r>
              <w:rPr>
                <w:sz w:val="21"/>
                <w:szCs w:val="21"/>
              </w:rPr>
              <w:t>卧室的分户楼板</w:t>
            </w:r>
          </w:p>
        </w:tc>
        <w:tc>
          <w:tcPr>
            <w:tcW w:w="2547" w:type="dxa"/>
            <w:vAlign w:val="center"/>
          </w:tcPr>
          <w:p>
            <w:pPr>
              <w:jc w:val="center"/>
              <w:rPr>
                <w:rFonts w:hint="eastAsia"/>
                <w:b/>
                <w:sz w:val="21"/>
                <w:szCs w:val="21"/>
              </w:rPr>
            </w:pPr>
            <w:bookmarkStart w:id="68" w:name="分户楼板星级评价撞击声压级"/>
            <w:r>
              <w:rPr>
                <w:b/>
                <w:sz w:val="21"/>
                <w:szCs w:val="21"/>
              </w:rPr>
              <w:t>--</w:t>
            </w:r>
            <w:bookmarkEnd w:id="68"/>
          </w:p>
        </w:tc>
        <w:tc>
          <w:tcPr>
            <w:tcW w:w="2324" w:type="dxa"/>
            <w:vAlign w:val="center"/>
          </w:tcPr>
          <w:p>
            <w:pPr>
              <w:rPr>
                <w:rFonts w:hint="eastAsia"/>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2154" w:type="dxa"/>
            <w:vAlign w:val="center"/>
          </w:tcPr>
          <w:p>
            <w:pPr>
              <w:jc w:val="center"/>
              <w:rPr>
                <w:rFonts w:hint="eastAsia"/>
                <w:b/>
                <w:sz w:val="21"/>
                <w:szCs w:val="21"/>
                <w:highlight w:val="yellow"/>
                <w:lang w:val="en-US"/>
              </w:rPr>
            </w:pPr>
            <w:bookmarkStart w:id="69" w:name="分户楼板星级评价结论"/>
            <w:r>
              <w:rPr>
                <w:b/>
                <w:sz w:val="21"/>
                <w:szCs w:val="21"/>
              </w:rPr>
              <w:t>--</w:t>
            </w:r>
            <w:bookmarkEnd w:id="69"/>
          </w:p>
        </w:tc>
      </w:tr>
    </w:tbl>
    <w:p>
      <w:pPr>
        <w:pStyle w:val="3"/>
        <w:spacing w:before="240"/>
        <w:rPr>
          <w:rFonts w:hint="eastAsia" w:ascii="宋体" w:hAnsi="宋体"/>
        </w:rPr>
      </w:pPr>
      <w:r>
        <w:rPr>
          <w:rFonts w:hint="eastAsia" w:ascii="宋体" w:hAnsi="宋体"/>
        </w:rPr>
        <w:t xml:space="preserve">    综上，根据</w:t>
      </w:r>
      <w:bookmarkStart w:id="70" w:name="标准名称2"/>
      <w:r>
        <w:t>山东省《绿色建筑评价标准》DB37/T 5097-2021</w:t>
      </w:r>
      <w:bookmarkEnd w:id="70"/>
      <w:r>
        <w:rPr>
          <w:rFonts w:hint="eastAsia" w:ascii="宋体" w:hAnsi="宋体"/>
        </w:rPr>
        <w:t>、《绿色建筑评</w:t>
      </w:r>
      <w:r>
        <w:t>价标准》GB/T 50378-2019和《民用建筑隔声设计规范》GB 50118-2010评价要求，可</w:t>
      </w:r>
      <w:r>
        <w:rPr>
          <w:rFonts w:hint="eastAsia" w:ascii="宋体" w:hAnsi="宋体"/>
        </w:rPr>
        <w:t>得围护结构隔声评价结果及得分情况如下表：</w:t>
      </w:r>
    </w:p>
    <w:p>
      <w:pPr>
        <w:spacing w:before="240"/>
        <w:jc w:val="right"/>
        <w:rPr>
          <w:rFonts w:hint="eastAsia"/>
          <w:sz w:val="21"/>
          <w:szCs w:val="21"/>
          <w:lang w:val="en-US"/>
        </w:rPr>
      </w:pPr>
      <w:r>
        <w:rPr>
          <w:rFonts w:hint="eastAsia"/>
          <w:sz w:val="21"/>
          <w:szCs w:val="21"/>
          <w:lang w:val="en-US"/>
        </w:rPr>
        <w:t>表</w:t>
      </w:r>
      <w:r>
        <w:rPr>
          <w:sz w:val="21"/>
          <w:szCs w:val="21"/>
          <w:lang w:val="en-US"/>
        </w:rPr>
        <w:t>8.</w:t>
      </w:r>
      <w:r>
        <w:rPr>
          <w:rFonts w:hint="eastAsia"/>
          <w:sz w:val="21"/>
          <w:szCs w:val="21"/>
          <w:lang w:val="en-US"/>
        </w:rPr>
        <w:t xml:space="preserve">4 围护结构隔声性能评价结果      </w:t>
      </w:r>
      <w:r>
        <w:rPr>
          <w:sz w:val="21"/>
          <w:szCs w:val="21"/>
          <w:lang w:val="en-US"/>
        </w:rPr>
        <w:t xml:space="preserve">       </w:t>
      </w:r>
      <w:r>
        <w:rPr>
          <w:rFonts w:hint="eastAsia"/>
          <w:sz w:val="21"/>
          <w:szCs w:val="21"/>
          <w:lang w:val="en-US"/>
        </w:rPr>
        <w:t xml:space="preserve">          单位：</w:t>
      </w:r>
      <w:r>
        <w:rPr>
          <w:sz w:val="21"/>
          <w:szCs w:val="21"/>
          <w:lang w:val="en-US"/>
        </w:rPr>
        <w:t>dB</w:t>
      </w:r>
    </w:p>
    <w:tbl>
      <w:tblPr>
        <w:tblStyle w:val="21"/>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jc w:val="center"/>
              <w:rPr>
                <w:rFonts w:hint="eastAsia"/>
                <w:bCs/>
                <w:sz w:val="21"/>
                <w:szCs w:val="21"/>
              </w:rPr>
            </w:pPr>
            <w:r>
              <w:rPr>
                <w:bCs/>
                <w:sz w:val="21"/>
                <w:szCs w:val="21"/>
              </w:rPr>
              <w:t>检查项</w:t>
            </w:r>
          </w:p>
        </w:tc>
        <w:tc>
          <w:tcPr>
            <w:tcW w:w="5812" w:type="dxa"/>
            <w:shd w:val="clear" w:color="auto" w:fill="E6E6E6"/>
          </w:tcPr>
          <w:p>
            <w:pPr>
              <w:jc w:val="center"/>
              <w:rPr>
                <w:rFonts w:hint="eastAsia"/>
                <w:bCs/>
                <w:sz w:val="21"/>
                <w:szCs w:val="21"/>
              </w:rPr>
            </w:pPr>
            <w:r>
              <w:rPr>
                <w:rFonts w:hint="eastAsia"/>
                <w:bCs/>
                <w:sz w:val="21"/>
                <w:szCs w:val="21"/>
              </w:rPr>
              <w:t>评价</w:t>
            </w:r>
            <w:r>
              <w:rPr>
                <w:bCs/>
                <w:sz w:val="21"/>
                <w:szCs w:val="21"/>
              </w:rPr>
              <w:t>依据</w:t>
            </w:r>
          </w:p>
        </w:tc>
        <w:tc>
          <w:tcPr>
            <w:tcW w:w="1523" w:type="dxa"/>
            <w:shd w:val="clear" w:color="auto" w:fill="E6E6E6"/>
            <w:vAlign w:val="center"/>
          </w:tcPr>
          <w:p>
            <w:pPr>
              <w:jc w:val="center"/>
              <w:rPr>
                <w:rFonts w:hint="eastAsia"/>
                <w:bCs/>
                <w:sz w:val="21"/>
                <w:szCs w:val="21"/>
              </w:rPr>
            </w:pPr>
            <w:r>
              <w:rPr>
                <w:bCs/>
                <w:sz w:val="21"/>
                <w:szCs w:val="21"/>
              </w:rPr>
              <w:t>结论</w:t>
            </w:r>
          </w:p>
        </w:tc>
        <w:tc>
          <w:tcPr>
            <w:tcW w:w="737" w:type="dxa"/>
            <w:shd w:val="clear" w:color="auto" w:fill="E6E6E6"/>
            <w:vAlign w:val="center"/>
          </w:tcPr>
          <w:p>
            <w:pPr>
              <w:jc w:val="center"/>
              <w:rPr>
                <w:rFonts w:hint="eastAsia"/>
                <w:bCs/>
                <w:sz w:val="21"/>
                <w:szCs w:val="21"/>
              </w:rPr>
            </w:pPr>
            <w:r>
              <w:rPr>
                <w:bCs/>
                <w:sz w:val="21"/>
                <w:szCs w:val="21"/>
              </w:rP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rFonts w:hint="eastAsia"/>
              </w:rPr>
            </w:pPr>
            <w:r>
              <w:rPr>
                <w:rFonts w:hint="eastAsia"/>
              </w:rPr>
              <w:t>空气声</w:t>
            </w:r>
          </w:p>
          <w:p>
            <w:pPr>
              <w:pStyle w:val="3"/>
              <w:jc w:val="center"/>
              <w:rPr>
                <w:rFonts w:hint="eastAsia"/>
              </w:rPr>
            </w:pPr>
            <w:r>
              <w:rPr>
                <w:rFonts w:hint="eastAsia"/>
              </w:rPr>
              <w:t>隔声</w:t>
            </w:r>
          </w:p>
        </w:tc>
        <w:tc>
          <w:tcPr>
            <w:tcW w:w="5812" w:type="dxa"/>
          </w:tcPr>
          <w:p>
            <w:pPr>
              <w:pStyle w:val="3"/>
              <w:rPr>
                <w:rFonts w:hint="eastAsia"/>
              </w:rPr>
            </w:pPr>
            <w:r>
              <w:rPr>
                <w:rFonts w:hint="eastAsia"/>
              </w:rPr>
              <w:t>控制项</w:t>
            </w:r>
            <w:r>
              <w:t>：</w:t>
            </w:r>
          </w:p>
          <w:p>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pPr>
              <w:jc w:val="center"/>
              <w:rPr>
                <w:rFonts w:hint="eastAsia"/>
                <w:b/>
                <w:sz w:val="21"/>
                <w:szCs w:val="21"/>
                <w:lang w:val="en-US"/>
              </w:rPr>
            </w:pPr>
            <w:bookmarkStart w:id="71" w:name="空气声控制项结论"/>
            <w:r>
              <w:rPr>
                <w:rFonts w:hint="eastAsia"/>
                <w:b/>
                <w:sz w:val="21"/>
                <w:szCs w:val="21"/>
                <w:lang w:val="en-US"/>
              </w:rPr>
              <w:t>满足</w:t>
            </w:r>
            <w:bookmarkEnd w:id="71"/>
          </w:p>
        </w:tc>
        <w:tc>
          <w:tcPr>
            <w:tcW w:w="737" w:type="dxa"/>
            <w:vAlign w:val="center"/>
          </w:tcPr>
          <w:p>
            <w:pPr>
              <w:jc w:val="center"/>
              <w:rPr>
                <w:rFonts w:hint="eastAsia"/>
                <w:b/>
                <w:sz w:val="21"/>
                <w:szCs w:val="21"/>
                <w:lang w:val="en-US"/>
              </w:rPr>
            </w:pPr>
            <w:r>
              <w:rPr>
                <w:b/>
                <w:sz w:val="21"/>
                <w:szCs w:val="21"/>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rFonts w:hint="eastAsia"/>
              </w:rPr>
            </w:pPr>
          </w:p>
        </w:tc>
        <w:tc>
          <w:tcPr>
            <w:tcW w:w="5812" w:type="dxa"/>
          </w:tcPr>
          <w:p>
            <w:pPr>
              <w:pStyle w:val="3"/>
              <w:rPr>
                <w:rFonts w:hint="eastAsia"/>
              </w:rPr>
            </w:pPr>
            <w:r>
              <w:rPr>
                <w:rFonts w:hint="eastAsia"/>
              </w:rPr>
              <w:t>评分项：</w:t>
            </w:r>
          </w:p>
          <w:p>
            <w:pPr>
              <w:pStyle w:val="3"/>
              <w:rPr>
                <w:rFonts w:hint="eastAsia"/>
              </w:rPr>
            </w:pPr>
            <w:bookmarkStart w:id="72" w:name="室内空气声条文内容"/>
            <w:bookmarkEnd w:id="72"/>
            <w:r>
              <w:rPr>
                <w:rFonts w:hint="eastAsia"/>
              </w:rPr>
              <w:t>5.2.7 构件及相邻房间之间的空气声隔声性能达到现行国家标准《民用建筑隔声设计规范》GB 50118中的低限标准限值和高要求标准限值的平均值，得3分；达到高要求标准限值，得5分；</w:t>
            </w:r>
          </w:p>
        </w:tc>
        <w:tc>
          <w:tcPr>
            <w:tcW w:w="1523" w:type="dxa"/>
            <w:vAlign w:val="center"/>
          </w:tcPr>
          <w:p>
            <w:pPr>
              <w:jc w:val="center"/>
              <w:rPr>
                <w:rFonts w:hint="eastAsia"/>
                <w:b/>
                <w:sz w:val="21"/>
                <w:szCs w:val="21"/>
                <w:lang w:val="en-US"/>
              </w:rPr>
            </w:pPr>
            <w:bookmarkStart w:id="73" w:name="空气声评分项结论"/>
            <w:r>
              <w:rPr>
                <w:rFonts w:hint="eastAsia"/>
                <w:b/>
                <w:sz w:val="21"/>
                <w:szCs w:val="21"/>
                <w:lang w:val="en-US"/>
              </w:rPr>
              <w:t>满足低限要求</w:t>
            </w:r>
            <w:bookmarkEnd w:id="73"/>
          </w:p>
        </w:tc>
        <w:tc>
          <w:tcPr>
            <w:tcW w:w="737" w:type="dxa"/>
            <w:vAlign w:val="center"/>
          </w:tcPr>
          <w:p>
            <w:pPr>
              <w:jc w:val="center"/>
              <w:rPr>
                <w:rFonts w:hint="eastAsia"/>
                <w:b/>
                <w:sz w:val="21"/>
                <w:szCs w:val="21"/>
                <w:lang w:val="en-US"/>
              </w:rPr>
            </w:pPr>
            <w:bookmarkStart w:id="74" w:name="空气声得分"/>
            <w:r>
              <w:rPr>
                <w:rFonts w:hint="eastAsia"/>
                <w:b/>
                <w:color w:val="FF0000"/>
                <w:sz w:val="21"/>
                <w:szCs w:val="21"/>
                <w:lang w:val="en-US"/>
              </w:rPr>
              <w:t>0</w:t>
            </w:r>
            <w:bookmarkEnd w:id="7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0" w:hRule="atLeast"/>
        </w:trPr>
        <w:tc>
          <w:tcPr>
            <w:tcW w:w="1261" w:type="dxa"/>
            <w:vMerge w:val="restart"/>
            <w:shd w:val="clear" w:color="auto" w:fill="E6E6E6"/>
            <w:vAlign w:val="center"/>
          </w:tcPr>
          <w:p>
            <w:pPr>
              <w:pStyle w:val="3"/>
              <w:jc w:val="center"/>
              <w:rPr>
                <w:rFonts w:hint="eastAsia"/>
              </w:rPr>
            </w:pPr>
            <w:r>
              <w:rPr>
                <w:rFonts w:hint="eastAsia"/>
              </w:rPr>
              <w:t>撞击声</w:t>
            </w:r>
          </w:p>
          <w:p>
            <w:pPr>
              <w:pStyle w:val="3"/>
              <w:jc w:val="center"/>
              <w:rPr>
                <w:rFonts w:hint="eastAsia"/>
              </w:rPr>
            </w:pPr>
            <w:r>
              <w:rPr>
                <w:rFonts w:hint="eastAsia"/>
              </w:rPr>
              <w:t>隔声</w:t>
            </w:r>
          </w:p>
        </w:tc>
        <w:tc>
          <w:tcPr>
            <w:tcW w:w="5812" w:type="dxa"/>
          </w:tcPr>
          <w:p>
            <w:pPr>
              <w:pStyle w:val="3"/>
              <w:rPr>
                <w:rFonts w:hint="eastAsia"/>
              </w:rPr>
            </w:pPr>
            <w:r>
              <w:rPr>
                <w:rFonts w:hint="eastAsia"/>
              </w:rPr>
              <w:t>控制项</w:t>
            </w:r>
            <w:r>
              <w:t>：</w:t>
            </w:r>
          </w:p>
          <w:p>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pPr>
              <w:jc w:val="center"/>
              <w:rPr>
                <w:rFonts w:hint="eastAsia"/>
                <w:b/>
                <w:sz w:val="21"/>
                <w:szCs w:val="21"/>
                <w:lang w:val="en-US"/>
              </w:rPr>
            </w:pPr>
            <w:bookmarkStart w:id="75" w:name="撞击声控制项结论"/>
            <w:r>
              <w:rPr>
                <w:rFonts w:hint="eastAsia"/>
                <w:b/>
                <w:sz w:val="21"/>
                <w:szCs w:val="21"/>
                <w:lang w:val="en-US"/>
              </w:rPr>
              <w:t>满足</w:t>
            </w:r>
            <w:bookmarkEnd w:id="75"/>
          </w:p>
        </w:tc>
        <w:tc>
          <w:tcPr>
            <w:tcW w:w="737" w:type="dxa"/>
            <w:vAlign w:val="center"/>
          </w:tcPr>
          <w:p>
            <w:pPr>
              <w:jc w:val="center"/>
              <w:rPr>
                <w:rFonts w:hint="eastAsia"/>
                <w:b/>
                <w:sz w:val="21"/>
                <w:szCs w:val="21"/>
                <w:lang w:val="en-US"/>
              </w:rPr>
            </w:pPr>
            <w:r>
              <w:rPr>
                <w:rFonts w:hint="eastAsia"/>
                <w:b/>
                <w:sz w:val="21"/>
                <w:szCs w:val="21"/>
                <w:lang w:val="en-US"/>
              </w:rPr>
              <w:t>-</w:t>
            </w:r>
            <w:r>
              <w:rPr>
                <w:b/>
                <w:sz w:val="21"/>
                <w:szCs w:val="21"/>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rFonts w:hint="eastAsia"/>
              </w:rPr>
            </w:pPr>
          </w:p>
        </w:tc>
        <w:tc>
          <w:tcPr>
            <w:tcW w:w="5812" w:type="dxa"/>
          </w:tcPr>
          <w:p>
            <w:pPr>
              <w:pStyle w:val="3"/>
              <w:rPr>
                <w:rFonts w:hint="eastAsia"/>
              </w:rPr>
            </w:pPr>
            <w:r>
              <w:rPr>
                <w:rFonts w:hint="eastAsia"/>
              </w:rPr>
              <w:t>评分项：</w:t>
            </w:r>
          </w:p>
          <w:p>
            <w:pPr>
              <w:pStyle w:val="3"/>
              <w:rPr>
                <w:rFonts w:hint="eastAsia"/>
              </w:rPr>
            </w:pPr>
            <w:bookmarkStart w:id="76" w:name="室内撞击声条文内容"/>
            <w:bookmarkEnd w:id="76"/>
            <w:r>
              <w:rPr>
                <w:rFonts w:hint="eastAsia"/>
              </w:rPr>
              <w:t>5.2.7 楼板的撞击声隔声性能达到现行国家标准《民用建筑隔声设计规范》GB 50118 中的低限标准限值和高要求标准限值的平均值，得3分；达到高要求标准限值，得5分。</w:t>
            </w:r>
          </w:p>
        </w:tc>
        <w:tc>
          <w:tcPr>
            <w:tcW w:w="1523" w:type="dxa"/>
            <w:vAlign w:val="center"/>
          </w:tcPr>
          <w:p>
            <w:pPr>
              <w:jc w:val="center"/>
              <w:rPr>
                <w:rFonts w:hint="eastAsia"/>
                <w:b/>
                <w:sz w:val="21"/>
                <w:szCs w:val="21"/>
                <w:lang w:val="en-US"/>
              </w:rPr>
            </w:pPr>
            <w:bookmarkStart w:id="77" w:name="撞击声评分项结论"/>
            <w:r>
              <w:rPr>
                <w:rFonts w:hint="eastAsia"/>
                <w:b/>
                <w:sz w:val="21"/>
                <w:szCs w:val="21"/>
                <w:lang w:val="en-US"/>
              </w:rPr>
              <w:t>满足高要求</w:t>
            </w:r>
            <w:bookmarkEnd w:id="77"/>
          </w:p>
        </w:tc>
        <w:tc>
          <w:tcPr>
            <w:tcW w:w="737" w:type="dxa"/>
            <w:vAlign w:val="center"/>
          </w:tcPr>
          <w:p>
            <w:pPr>
              <w:jc w:val="center"/>
              <w:rPr>
                <w:rFonts w:hint="eastAsia"/>
                <w:b/>
                <w:sz w:val="21"/>
                <w:szCs w:val="21"/>
                <w:lang w:val="en-US"/>
              </w:rPr>
            </w:pPr>
            <w:bookmarkStart w:id="78" w:name="撞击声得分"/>
            <w:r>
              <w:rPr>
                <w:rFonts w:hint="eastAsia"/>
                <w:b/>
                <w:sz w:val="21"/>
                <w:szCs w:val="21"/>
                <w:lang w:val="en-US"/>
              </w:rPr>
              <w:t>5</w:t>
            </w:r>
            <w:bookmarkEnd w:id="7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rFonts w:hint="eastAsia"/>
              </w:rPr>
            </w:pPr>
            <w:r>
              <w:rPr>
                <w:rFonts w:hint="eastAsia"/>
              </w:rPr>
              <w:t>住宅建筑</w:t>
            </w:r>
          </w:p>
          <w:p>
            <w:pPr>
              <w:pStyle w:val="3"/>
              <w:jc w:val="center"/>
              <w:rPr>
                <w:rFonts w:hint="eastAsia"/>
              </w:rPr>
            </w:pPr>
            <w:r>
              <w:rPr>
                <w:rFonts w:hint="eastAsia"/>
              </w:rPr>
              <w:t>隔声性能</w:t>
            </w:r>
          </w:p>
        </w:tc>
        <w:tc>
          <w:tcPr>
            <w:tcW w:w="5812" w:type="dxa"/>
          </w:tcPr>
          <w:p>
            <w:pPr>
              <w:pStyle w:val="3"/>
              <w:rPr>
                <w:rFonts w:hint="eastAsia"/>
                <w:b/>
              </w:rPr>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pPr>
              <w:jc w:val="center"/>
              <w:rPr>
                <w:rFonts w:hint="eastAsia"/>
                <w:b/>
                <w:sz w:val="21"/>
                <w:szCs w:val="21"/>
                <w:lang w:val="en-US"/>
              </w:rPr>
            </w:pPr>
            <w:bookmarkStart w:id="79" w:name="星级评价总结论"/>
            <w:r>
              <w:rPr>
                <w:rFonts w:hint="eastAsia"/>
                <w:b/>
                <w:sz w:val="21"/>
                <w:szCs w:val="21"/>
                <w:lang w:val="en-US"/>
              </w:rPr>
              <w:t>三星级</w:t>
            </w:r>
            <w:bookmarkEnd w:id="79"/>
          </w:p>
        </w:tc>
        <w:tc>
          <w:tcPr>
            <w:tcW w:w="737" w:type="dxa"/>
            <w:vAlign w:val="center"/>
          </w:tcPr>
          <w:p>
            <w:pPr>
              <w:jc w:val="center"/>
              <w:rPr>
                <w:rFonts w:hint="eastAsia"/>
                <w:b/>
                <w:sz w:val="21"/>
                <w:szCs w:val="21"/>
                <w:lang w:val="en-US"/>
              </w:rPr>
            </w:pPr>
            <w:r>
              <w:rPr>
                <w:rFonts w:hint="eastAsia"/>
                <w:b/>
                <w:sz w:val="21"/>
                <w:szCs w:val="21"/>
                <w:lang w:val="en-US"/>
              </w:rPr>
              <w:t>-</w:t>
            </w:r>
            <w:r>
              <w:rPr>
                <w:b/>
                <w:sz w:val="21"/>
                <w:szCs w:val="21"/>
                <w:lang w:val="en-US"/>
              </w:rPr>
              <w:t>-</w:t>
            </w:r>
          </w:p>
        </w:tc>
      </w:tr>
    </w:tbl>
    <w:p>
      <w:pPr>
        <w:pStyle w:val="13"/>
        <w:spacing w:line="360" w:lineRule="auto"/>
        <w:ind w:firstLine="0" w:firstLineChars="0"/>
        <w:rPr>
          <w:rFonts w:hint="eastAsia" w:ascii="宋体" w:hAnsi="宋体" w:eastAsia="宋体"/>
          <w:sz w:val="21"/>
          <w:szCs w:val="21"/>
          <w:lang w:val="en-GB"/>
        </w:rPr>
      </w:pPr>
    </w:p>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1</w:t>
    </w:r>
    <w:r>
      <w:fldChar w:fldCharType="end"/>
    </w:r>
    <w:r>
      <w:rPr>
        <w:b/>
      </w:rPr>
      <w:t>/</w:t>
    </w:r>
    <w:r>
      <w:fldChar w:fldCharType="begin"/>
    </w:r>
    <w:r>
      <w:instrText xml:space="preserve"> =</w:instrText>
    </w:r>
    <w:r>
      <w:fldChar w:fldCharType="begin"/>
    </w:r>
    <w:r>
      <w:instrText xml:space="preserve"> NUMPAGES   </w:instrText>
    </w:r>
    <w:r>
      <w:fldChar w:fldCharType="separate"/>
    </w:r>
    <w:r>
      <w:rPr>
        <w:rFonts w:hint="eastAsia"/>
      </w:rPr>
      <w:instrText xml:space="preserve">12</w:instrText>
    </w:r>
    <w:r>
      <w:fldChar w:fldCharType="end"/>
    </w:r>
    <w:r>
      <w:instrText xml:space="preserve">-2\* Arabic  \* MERGEFORMAT </w:instrText>
    </w:r>
    <w:r>
      <w:fldChar w:fldCharType="separate"/>
    </w:r>
    <w:r>
      <w:rPr>
        <w:rFonts w:hint="eastAsia"/>
        <w:b/>
      </w:rPr>
      <w:t>10</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lang w:val="en-US"/>
      </w:rPr>
      <w:drawing>
        <wp:inline distT="0" distB="0" distL="0" distR="0">
          <wp:extent cx="972185" cy="251460"/>
          <wp:effectExtent l="0" t="0" r="0" b="0"/>
          <wp:docPr id="189458061" name="Picture 18945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8061" name="Picture 1894580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iNTM3MmMzYmVjZDRhMzMwZGNhMmM2NTIyMmZmNTMifQ=="/>
  </w:docVars>
  <w:rsids>
    <w:rsidRoot w:val="279C270F"/>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38AB"/>
    <w:rsid w:val="000349E7"/>
    <w:rsid w:val="00036EC2"/>
    <w:rsid w:val="00037A4C"/>
    <w:rsid w:val="00037B35"/>
    <w:rsid w:val="000400FB"/>
    <w:rsid w:val="00041739"/>
    <w:rsid w:val="00042CF8"/>
    <w:rsid w:val="00043ACA"/>
    <w:rsid w:val="000462D8"/>
    <w:rsid w:val="00046771"/>
    <w:rsid w:val="000508B6"/>
    <w:rsid w:val="000511BF"/>
    <w:rsid w:val="00051A2C"/>
    <w:rsid w:val="00052598"/>
    <w:rsid w:val="000541C7"/>
    <w:rsid w:val="00057CDE"/>
    <w:rsid w:val="00064409"/>
    <w:rsid w:val="00071F7A"/>
    <w:rsid w:val="0007226E"/>
    <w:rsid w:val="00072403"/>
    <w:rsid w:val="00072D9C"/>
    <w:rsid w:val="000742C1"/>
    <w:rsid w:val="000745E9"/>
    <w:rsid w:val="00074AC6"/>
    <w:rsid w:val="00081562"/>
    <w:rsid w:val="00085970"/>
    <w:rsid w:val="00085CFA"/>
    <w:rsid w:val="00085D05"/>
    <w:rsid w:val="00086233"/>
    <w:rsid w:val="0008712B"/>
    <w:rsid w:val="00090F6C"/>
    <w:rsid w:val="000948A6"/>
    <w:rsid w:val="00094F4E"/>
    <w:rsid w:val="000A0B6F"/>
    <w:rsid w:val="000B01B8"/>
    <w:rsid w:val="000B354D"/>
    <w:rsid w:val="000B5216"/>
    <w:rsid w:val="000C0883"/>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62FF"/>
    <w:rsid w:val="000F797B"/>
    <w:rsid w:val="000F7DE6"/>
    <w:rsid w:val="000F7EF2"/>
    <w:rsid w:val="00101D99"/>
    <w:rsid w:val="001050EA"/>
    <w:rsid w:val="00106556"/>
    <w:rsid w:val="00112A59"/>
    <w:rsid w:val="001136D9"/>
    <w:rsid w:val="001141D0"/>
    <w:rsid w:val="001220AD"/>
    <w:rsid w:val="00122AE1"/>
    <w:rsid w:val="00125BA3"/>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83646"/>
    <w:rsid w:val="00190B7C"/>
    <w:rsid w:val="00192E22"/>
    <w:rsid w:val="0019610B"/>
    <w:rsid w:val="001969E2"/>
    <w:rsid w:val="00196F43"/>
    <w:rsid w:val="00197D19"/>
    <w:rsid w:val="001A075E"/>
    <w:rsid w:val="001A3AE6"/>
    <w:rsid w:val="001A5C53"/>
    <w:rsid w:val="001B2EB4"/>
    <w:rsid w:val="001B415F"/>
    <w:rsid w:val="001B5172"/>
    <w:rsid w:val="001B5727"/>
    <w:rsid w:val="001B5CBA"/>
    <w:rsid w:val="001B6384"/>
    <w:rsid w:val="001B6C40"/>
    <w:rsid w:val="001B7644"/>
    <w:rsid w:val="001B7675"/>
    <w:rsid w:val="001C3544"/>
    <w:rsid w:val="001D12EF"/>
    <w:rsid w:val="001D5D9D"/>
    <w:rsid w:val="001D6B5D"/>
    <w:rsid w:val="001D6BE8"/>
    <w:rsid w:val="001E146B"/>
    <w:rsid w:val="001E395D"/>
    <w:rsid w:val="001E4045"/>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57C4"/>
    <w:rsid w:val="00256D98"/>
    <w:rsid w:val="00260DAB"/>
    <w:rsid w:val="00263B34"/>
    <w:rsid w:val="0026796A"/>
    <w:rsid w:val="00272D57"/>
    <w:rsid w:val="00274C79"/>
    <w:rsid w:val="00275513"/>
    <w:rsid w:val="0028108B"/>
    <w:rsid w:val="0028444A"/>
    <w:rsid w:val="00293E25"/>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29AB"/>
    <w:rsid w:val="002B6241"/>
    <w:rsid w:val="002C08C0"/>
    <w:rsid w:val="002C1248"/>
    <w:rsid w:val="002C4EB6"/>
    <w:rsid w:val="002C557B"/>
    <w:rsid w:val="002C6F49"/>
    <w:rsid w:val="002D3939"/>
    <w:rsid w:val="002D4C5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15D"/>
    <w:rsid w:val="003502AA"/>
    <w:rsid w:val="00352B39"/>
    <w:rsid w:val="003535BD"/>
    <w:rsid w:val="003573C1"/>
    <w:rsid w:val="00361941"/>
    <w:rsid w:val="003629E3"/>
    <w:rsid w:val="003649E7"/>
    <w:rsid w:val="003657AB"/>
    <w:rsid w:val="0036676D"/>
    <w:rsid w:val="003714A3"/>
    <w:rsid w:val="00371A39"/>
    <w:rsid w:val="00372204"/>
    <w:rsid w:val="00372E9A"/>
    <w:rsid w:val="00375523"/>
    <w:rsid w:val="003757C4"/>
    <w:rsid w:val="003759B1"/>
    <w:rsid w:val="003764F9"/>
    <w:rsid w:val="00376CB0"/>
    <w:rsid w:val="00377D8F"/>
    <w:rsid w:val="0038007A"/>
    <w:rsid w:val="003816EB"/>
    <w:rsid w:val="00381A10"/>
    <w:rsid w:val="00381DFB"/>
    <w:rsid w:val="00387E83"/>
    <w:rsid w:val="0039287C"/>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0565"/>
    <w:rsid w:val="003C4CBB"/>
    <w:rsid w:val="003C7306"/>
    <w:rsid w:val="003D0C58"/>
    <w:rsid w:val="003D270D"/>
    <w:rsid w:val="003D38BD"/>
    <w:rsid w:val="003D7A39"/>
    <w:rsid w:val="003E087F"/>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4B7F"/>
    <w:rsid w:val="0047643A"/>
    <w:rsid w:val="00480791"/>
    <w:rsid w:val="004813EC"/>
    <w:rsid w:val="00483102"/>
    <w:rsid w:val="004850E1"/>
    <w:rsid w:val="004852CE"/>
    <w:rsid w:val="00485717"/>
    <w:rsid w:val="00485EC1"/>
    <w:rsid w:val="0049399F"/>
    <w:rsid w:val="004A225A"/>
    <w:rsid w:val="004A5418"/>
    <w:rsid w:val="004A5550"/>
    <w:rsid w:val="004A7887"/>
    <w:rsid w:val="004A7FEE"/>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4F4E4A"/>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064F"/>
    <w:rsid w:val="00542C9A"/>
    <w:rsid w:val="00542CD6"/>
    <w:rsid w:val="00544ACD"/>
    <w:rsid w:val="0054531E"/>
    <w:rsid w:val="00546786"/>
    <w:rsid w:val="00546A30"/>
    <w:rsid w:val="00546AB4"/>
    <w:rsid w:val="00550110"/>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A7DCA"/>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52E3"/>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24E9E"/>
    <w:rsid w:val="00632197"/>
    <w:rsid w:val="00634F26"/>
    <w:rsid w:val="006350D0"/>
    <w:rsid w:val="00635C9B"/>
    <w:rsid w:val="00636701"/>
    <w:rsid w:val="006369C8"/>
    <w:rsid w:val="0063739B"/>
    <w:rsid w:val="006426BA"/>
    <w:rsid w:val="00643197"/>
    <w:rsid w:val="0064527B"/>
    <w:rsid w:val="0064755B"/>
    <w:rsid w:val="00650C1C"/>
    <w:rsid w:val="00652545"/>
    <w:rsid w:val="006555BC"/>
    <w:rsid w:val="00655668"/>
    <w:rsid w:val="00656429"/>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6F5760"/>
    <w:rsid w:val="007139DC"/>
    <w:rsid w:val="00717045"/>
    <w:rsid w:val="00720C63"/>
    <w:rsid w:val="0072211B"/>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1724"/>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A7B5D"/>
    <w:rsid w:val="007B078A"/>
    <w:rsid w:val="007B1846"/>
    <w:rsid w:val="007B4074"/>
    <w:rsid w:val="007B5194"/>
    <w:rsid w:val="007C28BE"/>
    <w:rsid w:val="007C5104"/>
    <w:rsid w:val="007C6C34"/>
    <w:rsid w:val="007D0B10"/>
    <w:rsid w:val="007D16CF"/>
    <w:rsid w:val="007D25A3"/>
    <w:rsid w:val="007D3B84"/>
    <w:rsid w:val="007D4CC2"/>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6E33"/>
    <w:rsid w:val="007F7134"/>
    <w:rsid w:val="00800F40"/>
    <w:rsid w:val="00801031"/>
    <w:rsid w:val="00802D61"/>
    <w:rsid w:val="00804F99"/>
    <w:rsid w:val="0080681E"/>
    <w:rsid w:val="00807E19"/>
    <w:rsid w:val="00810BDF"/>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562F9"/>
    <w:rsid w:val="00867903"/>
    <w:rsid w:val="00870DA6"/>
    <w:rsid w:val="00872F80"/>
    <w:rsid w:val="00880DBB"/>
    <w:rsid w:val="00883D6C"/>
    <w:rsid w:val="00890E33"/>
    <w:rsid w:val="00894253"/>
    <w:rsid w:val="00896448"/>
    <w:rsid w:val="008A4CC6"/>
    <w:rsid w:val="008A66CF"/>
    <w:rsid w:val="008A7569"/>
    <w:rsid w:val="008B006E"/>
    <w:rsid w:val="008B05E2"/>
    <w:rsid w:val="008B17EB"/>
    <w:rsid w:val="008B31F1"/>
    <w:rsid w:val="008B45DA"/>
    <w:rsid w:val="008C567E"/>
    <w:rsid w:val="008D0B6B"/>
    <w:rsid w:val="008D4D0D"/>
    <w:rsid w:val="008D50C0"/>
    <w:rsid w:val="008D5EA5"/>
    <w:rsid w:val="008D6D2D"/>
    <w:rsid w:val="008D7D9D"/>
    <w:rsid w:val="008E2303"/>
    <w:rsid w:val="008E2650"/>
    <w:rsid w:val="008F11B7"/>
    <w:rsid w:val="008F1FEE"/>
    <w:rsid w:val="008F4468"/>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36A8F"/>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41E"/>
    <w:rsid w:val="00972AF1"/>
    <w:rsid w:val="00973CBD"/>
    <w:rsid w:val="009747EE"/>
    <w:rsid w:val="00976C9F"/>
    <w:rsid w:val="00980F10"/>
    <w:rsid w:val="009820CF"/>
    <w:rsid w:val="009837D2"/>
    <w:rsid w:val="00985959"/>
    <w:rsid w:val="00985C77"/>
    <w:rsid w:val="00987B1D"/>
    <w:rsid w:val="00990A55"/>
    <w:rsid w:val="009932BF"/>
    <w:rsid w:val="00993B53"/>
    <w:rsid w:val="009940DC"/>
    <w:rsid w:val="009942E5"/>
    <w:rsid w:val="0099522D"/>
    <w:rsid w:val="00997BD3"/>
    <w:rsid w:val="009A07EC"/>
    <w:rsid w:val="009A7C44"/>
    <w:rsid w:val="009B59C1"/>
    <w:rsid w:val="009B5C93"/>
    <w:rsid w:val="009B77B4"/>
    <w:rsid w:val="009C0FF5"/>
    <w:rsid w:val="009C356A"/>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1616"/>
    <w:rsid w:val="00A12AF6"/>
    <w:rsid w:val="00A13254"/>
    <w:rsid w:val="00A24C96"/>
    <w:rsid w:val="00A27F7D"/>
    <w:rsid w:val="00A30484"/>
    <w:rsid w:val="00A30976"/>
    <w:rsid w:val="00A31930"/>
    <w:rsid w:val="00A32590"/>
    <w:rsid w:val="00A3538A"/>
    <w:rsid w:val="00A355BD"/>
    <w:rsid w:val="00A35788"/>
    <w:rsid w:val="00A37500"/>
    <w:rsid w:val="00A410C4"/>
    <w:rsid w:val="00A459D2"/>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A7E07"/>
    <w:rsid w:val="00AB0923"/>
    <w:rsid w:val="00AB3F74"/>
    <w:rsid w:val="00AB5765"/>
    <w:rsid w:val="00AB57F1"/>
    <w:rsid w:val="00AB6486"/>
    <w:rsid w:val="00AB65E2"/>
    <w:rsid w:val="00AB6D13"/>
    <w:rsid w:val="00AC3A43"/>
    <w:rsid w:val="00AC3B3E"/>
    <w:rsid w:val="00AC42A9"/>
    <w:rsid w:val="00AC45A2"/>
    <w:rsid w:val="00AC69BD"/>
    <w:rsid w:val="00AC7840"/>
    <w:rsid w:val="00AD2AC9"/>
    <w:rsid w:val="00AD75CC"/>
    <w:rsid w:val="00AE46D5"/>
    <w:rsid w:val="00AE5A9A"/>
    <w:rsid w:val="00AE5EA5"/>
    <w:rsid w:val="00AE6212"/>
    <w:rsid w:val="00AF0DA7"/>
    <w:rsid w:val="00AF0EFF"/>
    <w:rsid w:val="00AF179F"/>
    <w:rsid w:val="00AF340B"/>
    <w:rsid w:val="00AF5127"/>
    <w:rsid w:val="00B00AB3"/>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1A5D"/>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43F3"/>
    <w:rsid w:val="00BA5F2B"/>
    <w:rsid w:val="00BA60C3"/>
    <w:rsid w:val="00BB3BE9"/>
    <w:rsid w:val="00BB475A"/>
    <w:rsid w:val="00BB5F49"/>
    <w:rsid w:val="00BB7C88"/>
    <w:rsid w:val="00BC484E"/>
    <w:rsid w:val="00BD2CE1"/>
    <w:rsid w:val="00BD30E9"/>
    <w:rsid w:val="00BD3782"/>
    <w:rsid w:val="00BD3ED3"/>
    <w:rsid w:val="00BD606F"/>
    <w:rsid w:val="00BD747B"/>
    <w:rsid w:val="00BE08BB"/>
    <w:rsid w:val="00BE4937"/>
    <w:rsid w:val="00BE74C9"/>
    <w:rsid w:val="00BF00C6"/>
    <w:rsid w:val="00C0242F"/>
    <w:rsid w:val="00C06FB0"/>
    <w:rsid w:val="00C131A8"/>
    <w:rsid w:val="00C13BA6"/>
    <w:rsid w:val="00C16062"/>
    <w:rsid w:val="00C174EC"/>
    <w:rsid w:val="00C17759"/>
    <w:rsid w:val="00C2410E"/>
    <w:rsid w:val="00C26015"/>
    <w:rsid w:val="00C307EB"/>
    <w:rsid w:val="00C31222"/>
    <w:rsid w:val="00C325A2"/>
    <w:rsid w:val="00C33020"/>
    <w:rsid w:val="00C3399F"/>
    <w:rsid w:val="00C415EA"/>
    <w:rsid w:val="00C447AF"/>
    <w:rsid w:val="00C507B2"/>
    <w:rsid w:val="00C5294D"/>
    <w:rsid w:val="00C55819"/>
    <w:rsid w:val="00C60D5A"/>
    <w:rsid w:val="00C61F08"/>
    <w:rsid w:val="00C63237"/>
    <w:rsid w:val="00C67778"/>
    <w:rsid w:val="00C7287B"/>
    <w:rsid w:val="00C732DD"/>
    <w:rsid w:val="00C740F7"/>
    <w:rsid w:val="00C741F3"/>
    <w:rsid w:val="00C762AC"/>
    <w:rsid w:val="00C77B6E"/>
    <w:rsid w:val="00C77D58"/>
    <w:rsid w:val="00C80797"/>
    <w:rsid w:val="00C815BB"/>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5F74"/>
    <w:rsid w:val="00CE604D"/>
    <w:rsid w:val="00CE7208"/>
    <w:rsid w:val="00CF2712"/>
    <w:rsid w:val="00CF2F38"/>
    <w:rsid w:val="00CF3C71"/>
    <w:rsid w:val="00CF6700"/>
    <w:rsid w:val="00D05557"/>
    <w:rsid w:val="00D05A35"/>
    <w:rsid w:val="00D07815"/>
    <w:rsid w:val="00D1447F"/>
    <w:rsid w:val="00D17C5F"/>
    <w:rsid w:val="00D17DFC"/>
    <w:rsid w:val="00D22576"/>
    <w:rsid w:val="00D22A10"/>
    <w:rsid w:val="00D238C3"/>
    <w:rsid w:val="00D23910"/>
    <w:rsid w:val="00D264C6"/>
    <w:rsid w:val="00D31A86"/>
    <w:rsid w:val="00D31B52"/>
    <w:rsid w:val="00D32CB3"/>
    <w:rsid w:val="00D3440A"/>
    <w:rsid w:val="00D40158"/>
    <w:rsid w:val="00D40641"/>
    <w:rsid w:val="00D43C46"/>
    <w:rsid w:val="00D44FE0"/>
    <w:rsid w:val="00D45B4F"/>
    <w:rsid w:val="00D56C5D"/>
    <w:rsid w:val="00D605DE"/>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5887"/>
    <w:rsid w:val="00DA7242"/>
    <w:rsid w:val="00DB4CC2"/>
    <w:rsid w:val="00DC3B53"/>
    <w:rsid w:val="00DC68F7"/>
    <w:rsid w:val="00DC73AD"/>
    <w:rsid w:val="00DD26A2"/>
    <w:rsid w:val="00DD3180"/>
    <w:rsid w:val="00DE18F2"/>
    <w:rsid w:val="00DE2E75"/>
    <w:rsid w:val="00DE6AA1"/>
    <w:rsid w:val="00DE6E43"/>
    <w:rsid w:val="00DF289B"/>
    <w:rsid w:val="00DF470C"/>
    <w:rsid w:val="00DF5140"/>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0304"/>
    <w:rsid w:val="00E51745"/>
    <w:rsid w:val="00E51846"/>
    <w:rsid w:val="00E52F87"/>
    <w:rsid w:val="00E621F4"/>
    <w:rsid w:val="00E64B47"/>
    <w:rsid w:val="00E64C50"/>
    <w:rsid w:val="00E67E7A"/>
    <w:rsid w:val="00E7180B"/>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5630"/>
    <w:rsid w:val="00EC66B6"/>
    <w:rsid w:val="00ED6759"/>
    <w:rsid w:val="00ED74C1"/>
    <w:rsid w:val="00EE2E3D"/>
    <w:rsid w:val="00EE35BE"/>
    <w:rsid w:val="00EE661B"/>
    <w:rsid w:val="00EF179D"/>
    <w:rsid w:val="00EF253F"/>
    <w:rsid w:val="00EF37EA"/>
    <w:rsid w:val="00EF43B4"/>
    <w:rsid w:val="00EF4854"/>
    <w:rsid w:val="00EF65A6"/>
    <w:rsid w:val="00EF6751"/>
    <w:rsid w:val="00EF78C3"/>
    <w:rsid w:val="00F00516"/>
    <w:rsid w:val="00F01F36"/>
    <w:rsid w:val="00F02EAE"/>
    <w:rsid w:val="00F03295"/>
    <w:rsid w:val="00F052EA"/>
    <w:rsid w:val="00F05B07"/>
    <w:rsid w:val="00F100BE"/>
    <w:rsid w:val="00F10592"/>
    <w:rsid w:val="00F107D4"/>
    <w:rsid w:val="00F12C48"/>
    <w:rsid w:val="00F14677"/>
    <w:rsid w:val="00F161BD"/>
    <w:rsid w:val="00F21FAF"/>
    <w:rsid w:val="00F22019"/>
    <w:rsid w:val="00F22E4F"/>
    <w:rsid w:val="00F27440"/>
    <w:rsid w:val="00F32097"/>
    <w:rsid w:val="00F36C36"/>
    <w:rsid w:val="00F401D8"/>
    <w:rsid w:val="00F41951"/>
    <w:rsid w:val="00F43C89"/>
    <w:rsid w:val="00F453A5"/>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B4E11"/>
    <w:rsid w:val="00FC08B8"/>
    <w:rsid w:val="00FC178C"/>
    <w:rsid w:val="00FC4B65"/>
    <w:rsid w:val="00FC5550"/>
    <w:rsid w:val="00FD0EF4"/>
    <w:rsid w:val="00FD4C04"/>
    <w:rsid w:val="00FD636D"/>
    <w:rsid w:val="00FD77E0"/>
    <w:rsid w:val="00FE1638"/>
    <w:rsid w:val="00FE53F1"/>
    <w:rsid w:val="00FE5448"/>
    <w:rsid w:val="00FF2243"/>
    <w:rsid w:val="00FF235F"/>
    <w:rsid w:val="04172154"/>
    <w:rsid w:val="279C270F"/>
    <w:rsid w:val="4B79259A"/>
    <w:rsid w:val="613A0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14.png"/><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41;&#26696;&#2346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5E35F-B96B-49EC-9CF3-06E8ED92AB39}">
  <ds:schemaRefs/>
</ds:datastoreItem>
</file>

<file path=docProps/app.xml><?xml version="1.0" encoding="utf-8"?>
<Properties xmlns="http://schemas.openxmlformats.org/officeDocument/2006/extended-properties" xmlns:vt="http://schemas.openxmlformats.org/officeDocument/2006/docPropsVTypes">
  <Template>tmp3.dotx</Template>
  <Pages>16</Pages>
  <Words>6865</Words>
  <Characters>8674</Characters>
  <Lines>54</Lines>
  <Paragraphs>15</Paragraphs>
  <TotalTime>7</TotalTime>
  <ScaleCrop>false</ScaleCrop>
  <LinksUpToDate>false</LinksUpToDate>
  <CharactersWithSpaces>10806</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2025-09-05T13:01:00Z</dcterms:created>
  <dc:creator>友誼</dc:creator>
  <cp:lastModifiedBy>友誼</cp:lastModifiedBy>
  <dcterms:modified xsi:type="dcterms:W3CDTF">2025-09-05T13:08:24Z</dcterms:modified>
  <dc:title>建筑构件隔声设计报告书</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AE44B338123340A2A7125EDC7AFE189F</vt:lpwstr>
  </property>
</Properties>
</file>