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DE3EA">
      <w:pPr>
        <w:pStyle w:val="2"/>
        <w:jc w:val="center"/>
      </w:pPr>
    </w:p>
    <w:p w14:paraId="279824E2">
      <w:pPr>
        <w:pStyle w:val="2"/>
        <w:jc w:val="center"/>
      </w:pPr>
    </w:p>
    <w:p w14:paraId="6145C2F8">
      <w:pPr>
        <w:pStyle w:val="2"/>
        <w:jc w:val="center"/>
      </w:pPr>
    </w:p>
    <w:p w14:paraId="5178FF07">
      <w:pPr>
        <w:pStyle w:val="2"/>
        <w:jc w:val="center"/>
      </w:pPr>
      <w:r>
        <w:rPr>
          <w:rFonts w:hint="eastAsia"/>
        </w:rPr>
        <w:t>泰山科技学院（新校区）二期三阶段</w:t>
      </w:r>
    </w:p>
    <w:p w14:paraId="5EC3AC03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328EA87A">
      <w:pPr>
        <w:rPr>
          <w:kern w:val="44"/>
          <w:sz w:val="44"/>
          <w:szCs w:val="44"/>
        </w:rPr>
      </w:pPr>
      <w:r>
        <w:br w:type="page"/>
      </w:r>
    </w:p>
    <w:p w14:paraId="51AA588D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49397EE4"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</w:rPr>
        <w:t>泰山科技学院（新校区）二期三阶段</w:t>
      </w:r>
    </w:p>
    <w:p w14:paraId="2E6838F7"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</w:rPr>
        <w:t>泰安市岱岳区山口镇学院西路以东，太平南街以北，滨河路以西，环山路东段以南。该项目总用地面积为 157158.44 平方米，建筑面积为 170255.78平方米。</w:t>
      </w:r>
    </w:p>
    <w:p w14:paraId="48EDA094">
      <w:pPr>
        <w:rPr>
          <w:sz w:val="24"/>
        </w:rPr>
      </w:pPr>
      <w:r>
        <w:drawing>
          <wp:inline distT="0" distB="0" distL="114300" distR="114300">
            <wp:extent cx="5263515" cy="3732530"/>
            <wp:effectExtent l="0" t="0" r="133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6351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567C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C35386B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13E9E8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</w:t>
      </w:r>
      <w:r>
        <w:rPr>
          <w:rFonts w:hint="eastAsia"/>
          <w:sz w:val="24"/>
        </w:rPr>
        <w:t>DB37/T 5097-2021</w:t>
      </w:r>
      <w:r>
        <w:rPr>
          <w:sz w:val="24"/>
        </w:rPr>
        <w:t>第7.2.3 条明确要求：</w:t>
      </w:r>
    </w:p>
    <w:p w14:paraId="0943310A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21CCE363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4990E974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6574F255">
      <w:pPr>
        <w:ind w:firstLine="420"/>
        <w:rPr>
          <w:rFonts w:asciiTheme="minorEastAsia" w:hAnsiTheme="minorEastAsia"/>
          <w:sz w:val="24"/>
          <w:szCs w:val="21"/>
        </w:rPr>
      </w:pPr>
    </w:p>
    <w:p w14:paraId="7A23C7F4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340ED649">
      <w:pPr>
        <w:ind w:firstLine="420"/>
        <w:rPr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29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个</w:t>
      </w:r>
    </w:p>
    <w:p w14:paraId="537E20C6">
      <w:pPr>
        <w:ind w:firstLine="420"/>
      </w:pPr>
    </w:p>
    <w:p w14:paraId="3B5FD82F"/>
    <w:p w14:paraId="701A7D93">
      <w:pPr>
        <w:ind w:firstLine="420"/>
      </w:pPr>
      <w:r>
        <w:rPr>
          <w:rFonts w:hint="eastAsia"/>
        </w:rPr>
        <w:t>地面停车率=地面停车占地面积/总建设用地面积</w:t>
      </w:r>
    </w:p>
    <w:p w14:paraId="312FECEB">
      <w:pPr>
        <w:ind w:left="1260" w:firstLine="210" w:firstLineChars="100"/>
      </w:pPr>
    </w:p>
    <w:p w14:paraId="1D98240C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522.00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/  157158.44   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0.33%</w:t>
      </w:r>
      <w:r>
        <w:rPr>
          <w:u w:val="single"/>
        </w:rPr>
        <w:t xml:space="preserve">     </w:t>
      </w:r>
    </w:p>
    <w:p w14:paraId="3EC32647">
      <w:pPr>
        <w:rPr>
          <w:u w:val="single"/>
        </w:rPr>
      </w:pPr>
    </w:p>
    <w:p w14:paraId="129ACA92">
      <w:pPr>
        <w:rPr>
          <w:u w:val="single"/>
        </w:rPr>
      </w:pPr>
    </w:p>
    <w:p w14:paraId="079F76BD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  <w:bookmarkStart w:id="0" w:name="_GoBack"/>
      <w:bookmarkEnd w:id="0"/>
    </w:p>
    <w:p w14:paraId="3597CE24">
      <w:pPr>
        <w:rPr>
          <w:rFonts w:asciiTheme="minorEastAsia" w:hAnsiTheme="minorEastAsia"/>
          <w:sz w:val="24"/>
          <w:szCs w:val="21"/>
        </w:rPr>
      </w:pPr>
      <w:r>
        <w:tab/>
      </w:r>
      <w:r>
        <w:rPr>
          <w:rFonts w:hint="eastAsia" w:asciiTheme="minorEastAsia" w:hAnsiTheme="minorEastAsia"/>
          <w:sz w:val="24"/>
          <w:szCs w:val="21"/>
        </w:rPr>
        <w:t>经验算</w:t>
      </w:r>
      <w:r>
        <w:rPr>
          <w:rFonts w:asciiTheme="minorEastAsia" w:hAnsiTheme="minorEastAsia"/>
          <w:sz w:val="24"/>
          <w:szCs w:val="21"/>
        </w:rPr>
        <w:t>，</w:t>
      </w:r>
      <w:r>
        <w:rPr>
          <w:rFonts w:hint="eastAsia" w:asciiTheme="minorEastAsia" w:hAnsiTheme="minorEastAsia"/>
          <w:sz w:val="24"/>
          <w:szCs w:val="21"/>
        </w:rPr>
        <w:t>公共建筑地面停车占地面积与其总建设用地面积的比率为  0.33%  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22696E1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3B2C32"/>
    <w:rsid w:val="00427EC4"/>
    <w:rsid w:val="00625AA6"/>
    <w:rsid w:val="009B2798"/>
    <w:rsid w:val="00D221CD"/>
    <w:rsid w:val="00D35CD4"/>
    <w:rsid w:val="00E94094"/>
    <w:rsid w:val="0D0D4FEB"/>
    <w:rsid w:val="3DBF2868"/>
    <w:rsid w:val="5F0A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292</Words>
  <Characters>334</Characters>
  <Lines>3</Lines>
  <Paragraphs>1</Paragraphs>
  <TotalTime>35</TotalTime>
  <ScaleCrop>false</ScaleCrop>
  <LinksUpToDate>false</LinksUpToDate>
  <CharactersWithSpaces>408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友誼</cp:lastModifiedBy>
  <dcterms:modified xsi:type="dcterms:W3CDTF">2025-09-08T09:34:17Z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eyJoZGlkIjoiNDc2ZDFiOWVlMjdkYjI2MDhhMWNjOWEwMGJiODFmYWEiLCJ1c2VySWQiOiI0MDM1NDI5MDIifQ==</vt:lpwstr>
  </property>
  <property fmtid="{D5CDD505-2E9C-101B-9397-08002B2CF9AE}" pid="3" name="KSOProductBuildVer">
    <vt:lpwstr>2052-12.1.0.22525</vt:lpwstr>
  </property>
  <property fmtid="{D5CDD505-2E9C-101B-9397-08002B2CF9AE}" pid="4" name="ICV">
    <vt:lpwstr>D65263F7EC3146C5A4384AE87226233D_12</vt:lpwstr>
  </property>
</Properties>
</file>