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54BC35C">
      <w:pPr>
        <w:rPr>
          <w:rFonts w:ascii="Times New Roman" w:hAnsi="Times New Roman" w:eastAsia="Times New Roman" w:cs="Times New Roman"/>
          <w:sz w:val="20"/>
          <w:szCs w:val="20"/>
        </w:rPr>
      </w:pPr>
    </w:p>
    <w:p w14:paraId="0CC085DC">
      <w:pPr>
        <w:rPr>
          <w:rFonts w:ascii="Times New Roman" w:hAnsi="Times New Roman" w:eastAsia="Times New Roman" w:cs="Times New Roman"/>
          <w:sz w:val="20"/>
          <w:szCs w:val="20"/>
        </w:rPr>
      </w:pPr>
    </w:p>
    <w:p w14:paraId="4D64A713">
      <w:pPr>
        <w:spacing w:before="5"/>
        <w:rPr>
          <w:rFonts w:ascii="Times New Roman" w:hAnsi="Times New Roman" w:eastAsia="Times New Roman" w:cs="Times New Roman"/>
          <w:sz w:val="13"/>
          <w:szCs w:val="13"/>
        </w:rPr>
      </w:pPr>
    </w:p>
    <w:p w14:paraId="2D959D0A">
      <w:pPr>
        <w:spacing w:line="200" w:lineRule="atLeast"/>
        <w:ind w:left="1114"/>
        <w:rPr>
          <w:rFonts w:ascii="Times New Roman" w:hAnsi="Times New Roman" w:eastAsia="Times New Roman" w:cs="Times New Roman"/>
          <w:sz w:val="20"/>
          <w:szCs w:val="20"/>
        </w:rPr>
      </w:pPr>
    </w:p>
    <w:p w14:paraId="04EB2A1F">
      <w:pPr>
        <w:rPr>
          <w:rFonts w:ascii="Times New Roman" w:hAnsi="Times New Roman" w:eastAsia="Times New Roman" w:cs="Times New Roman"/>
          <w:sz w:val="20"/>
          <w:szCs w:val="20"/>
        </w:rPr>
      </w:pPr>
    </w:p>
    <w:p w14:paraId="0E6FFB01">
      <w:pPr>
        <w:rPr>
          <w:rFonts w:ascii="Times New Roman" w:hAnsi="Times New Roman" w:eastAsia="Times New Roman" w:cs="Times New Roman"/>
          <w:sz w:val="20"/>
          <w:szCs w:val="20"/>
        </w:rPr>
      </w:pPr>
    </w:p>
    <w:p w14:paraId="7B3786EB">
      <w:pPr>
        <w:spacing w:before="3"/>
        <w:rPr>
          <w:rFonts w:ascii="Times New Roman" w:hAnsi="Times New Roman" w:eastAsia="Times New Roman" w:cs="Times New Roman"/>
          <w:sz w:val="26"/>
          <w:szCs w:val="26"/>
        </w:rPr>
      </w:pPr>
    </w:p>
    <w:p w14:paraId="2596D625">
      <w:pPr>
        <w:spacing w:before="107"/>
        <w:ind w:left="1858"/>
        <w:rPr>
          <w:rFonts w:ascii="微软雅黑" w:hAnsi="微软雅黑" w:eastAsia="微软雅黑" w:cs="微软雅黑"/>
          <w:sz w:val="48"/>
          <w:szCs w:val="48"/>
          <w:lang w:eastAsia="zh-CN"/>
        </w:rPr>
      </w:pPr>
      <w: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  <w:t>公共交通设施布局说明</w:t>
      </w:r>
    </w:p>
    <w:p w14:paraId="262DC575">
      <w:pP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</w:pPr>
    </w:p>
    <w:p w14:paraId="78B705D0">
      <w:pP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</w:pPr>
    </w:p>
    <w:p w14:paraId="66C5F99B">
      <w:pPr>
        <w:rPr>
          <w:rFonts w:hint="eastAsia" w:ascii="微软雅黑" w:hAnsi="微软雅黑" w:eastAsia="微软雅黑" w:cs="微软雅黑"/>
          <w:b/>
          <w:bCs/>
          <w:sz w:val="48"/>
          <w:szCs w:val="48"/>
          <w:lang w:eastAsia="zh-CN"/>
        </w:rPr>
      </w:pPr>
      <w: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  <w:br w:type="page"/>
      </w:r>
    </w:p>
    <w:p w14:paraId="3F4F152C">
      <w:pPr>
        <w:rPr>
          <w:rFonts w:ascii="宋体" w:hAnsi="宋体" w:eastAsia="宋体" w:cs="宋体"/>
          <w:b/>
          <w:bCs/>
          <w:sz w:val="36"/>
          <w:szCs w:val="36"/>
          <w:lang w:eastAsia="zh-CN"/>
        </w:rPr>
      </w:pPr>
    </w:p>
    <w:p w14:paraId="2439EC66">
      <w:pPr>
        <w:pStyle w:val="4"/>
        <w:ind w:left="338"/>
        <w:rPr>
          <w:rFonts w:hint="eastAsia"/>
          <w:u w:val="single"/>
          <w:lang w:eastAsia="zh-CN"/>
        </w:rPr>
      </w:pPr>
      <w:r>
        <w:rPr>
          <w:rFonts w:hint="eastAsia"/>
          <w:lang w:eastAsia="zh-CN"/>
        </w:rPr>
        <w:t>项目名称：</w:t>
      </w:r>
      <w:r>
        <w:rPr>
          <w:u w:val="single"/>
          <w:lang w:eastAsia="zh-CN"/>
        </w:rPr>
        <w:t xml:space="preserve"> </w:t>
      </w:r>
      <w:r>
        <w:rPr>
          <w:rFonts w:hint="eastAsia"/>
          <w:u w:val="single"/>
          <w:lang w:eastAsia="zh-CN"/>
        </w:rPr>
        <w:t>泰山科技学院（新校区）二期三阶段</w:t>
      </w:r>
      <w:r>
        <w:rPr>
          <w:u w:val="single"/>
          <w:lang w:eastAsia="zh-CN"/>
        </w:rPr>
        <w:t xml:space="preserve"> </w:t>
      </w:r>
    </w:p>
    <w:p w14:paraId="1005ADA3">
      <w:pPr>
        <w:pStyle w:val="4"/>
        <w:ind w:left="338"/>
        <w:rPr>
          <w:rFonts w:hint="eastAsia"/>
          <w:lang w:eastAsia="zh-CN"/>
        </w:rPr>
      </w:pPr>
      <w:r>
        <w:rPr>
          <w:rFonts w:hint="eastAsia"/>
          <w:lang w:eastAsia="zh-CN"/>
        </w:rPr>
        <w:t>对标</w:t>
      </w:r>
      <w:r>
        <w:rPr>
          <w:lang w:eastAsia="zh-CN"/>
        </w:rPr>
        <w:t>条文：</w:t>
      </w:r>
    </w:p>
    <w:p w14:paraId="000147F9">
      <w:pPr>
        <w:ind w:left="144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  <w:t>6.1.2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场地人行出入口500m内应设有公共交通站点或配备联系公共交通站点的专用接驳车。</w:t>
      </w:r>
    </w:p>
    <w:p w14:paraId="4643C261">
      <w:pPr>
        <w:ind w:left="144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  <w:t>6.2.1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场地与公共交通站点联系便捷，评价总分值为8分，并按下列规则分别评分并累计：</w:t>
      </w:r>
    </w:p>
    <w:p w14:paraId="6598D2FF">
      <w:pPr>
        <w:ind w:left="1440" w:firstLine="105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1   场地出入口到达公共交通站点的步行距离不超过500m，或到达轨道交通站的步行距离不大于800m，得2分；场地出入口到达公共交通站点的步行距离不超过300m，或到达轨道交通站的步行距离不大于500m，得4分；</w:t>
      </w:r>
    </w:p>
    <w:p w14:paraId="24043D0F">
      <w:pPr>
        <w:ind w:left="144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2   场地出入口步行距离800m范围内设有不少于2条线路的公共交通站点，得4分。</w:t>
      </w:r>
    </w:p>
    <w:p w14:paraId="0CAEDD26">
      <w:pPr>
        <w:ind w:left="720" w:firstLine="72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  <w:t>6.2.3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提供便利的公共服务，评价总分值为10分，并按下列规则评分：</w:t>
      </w:r>
    </w:p>
    <w:p w14:paraId="6CA7240B">
      <w:pPr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</w:t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1   住宅建筑，满足下列要求中4项，得5分；满足6项及以上，得10分。</w:t>
      </w:r>
    </w:p>
    <w:p w14:paraId="6C8B975A"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1)   场地出入口到达幼儿园的步行距离不大于300m；</w:t>
      </w:r>
    </w:p>
    <w:p w14:paraId="57E903DA"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2)   场地出入口到达小学的步行距离不大于500m；</w:t>
      </w:r>
    </w:p>
    <w:p w14:paraId="07300E66"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3)   场地出入口到达中学的步行距离不大于1000m；</w:t>
      </w:r>
    </w:p>
    <w:p w14:paraId="44AF2ACE"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4)   场地出入口到达医院的步行距离不大于1000m；</w:t>
      </w:r>
    </w:p>
    <w:p w14:paraId="7DAC97DE"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5)   场地出入口到达群众文化活动设施的步行距离不大于800m；</w:t>
      </w:r>
    </w:p>
    <w:p w14:paraId="475C10A0"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6)   场地出入口到达老年人日间照料设施的步行距离不大于500m；</w:t>
      </w:r>
    </w:p>
    <w:p w14:paraId="21A64724"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7)   场地周边500m范围内具有不少于3种商业服务设施。</w:t>
      </w:r>
    </w:p>
    <w:p w14:paraId="23C9098F">
      <w:pPr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</w:t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2   公共建筑满足下列要求中的3项，得5分；满足5项，得10分。</w:t>
      </w:r>
    </w:p>
    <w:p w14:paraId="41B1A2B6"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1)   建筑内至少兼容2种面向社会的公共服务功能；</w:t>
      </w:r>
    </w:p>
    <w:p w14:paraId="3E39E209"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2)   建筑向社会公众提供开放的公共活动空间；</w:t>
      </w:r>
    </w:p>
    <w:p w14:paraId="047A7C97"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3)   电动汽车充电桩的车位数占总车位数的比例不低于10%;</w:t>
      </w:r>
    </w:p>
    <w:p w14:paraId="6D523032"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4)   周边500m 范围内设有社会公共停车场（库）；</w:t>
      </w:r>
    </w:p>
    <w:p w14:paraId="26C158B6"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5)   场地不封闭或场地内步行公共通道向社会开放。</w:t>
      </w:r>
    </w:p>
    <w:p w14:paraId="68334E62">
      <w:pPr>
        <w:ind w:left="138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  <w:t xml:space="preserve">6.2.4 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城市绿地、广场及公共运动场地等开敞空间，步行可达，评价总分值为5分，并按下列规则分别评分并累计：</w:t>
      </w:r>
    </w:p>
    <w:p w14:paraId="5B76C71F">
      <w:pPr>
        <w:ind w:left="144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1   场地出入口到达居住区公园或城市公园绿地、广场的步行距离不大于300m，得3分；</w:t>
      </w:r>
    </w:p>
    <w:p w14:paraId="344033EE">
      <w:pPr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</w:t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2   到达中型多功能运动场地的步行距离不大于500m，得2分。</w:t>
      </w:r>
    </w:p>
    <w:p w14:paraId="22C77EAE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 w14:paraId="485AA58B">
      <w:pPr>
        <w:pStyle w:val="4"/>
        <w:ind w:left="338"/>
        <w:rPr>
          <w:b w:val="0"/>
          <w:bCs w:val="0"/>
          <w:lang w:eastAsia="zh-CN"/>
        </w:rPr>
      </w:pPr>
      <w:r>
        <w:rPr>
          <w:lang w:eastAsia="zh-CN"/>
        </w:rPr>
        <w:t>工程概况：</w:t>
      </w:r>
    </w:p>
    <w:p w14:paraId="70F22000">
      <w:pPr>
        <w:spacing w:before="8"/>
        <w:rPr>
          <w:rFonts w:ascii="宋体" w:hAnsi="宋体" w:eastAsia="宋体" w:cs="宋体"/>
          <w:b/>
          <w:bCs/>
          <w:sz w:val="17"/>
          <w:szCs w:val="17"/>
          <w:lang w:eastAsia="zh-CN"/>
        </w:rPr>
      </w:pPr>
    </w:p>
    <w:p w14:paraId="3BDD4EB3">
      <w:pPr>
        <w:pStyle w:val="5"/>
        <w:tabs>
          <w:tab w:val="left" w:pos="1307"/>
          <w:tab w:val="left" w:pos="3703"/>
        </w:tabs>
        <w:spacing w:line="277" w:lineRule="auto"/>
        <w:ind w:left="338" w:right="327" w:firstLine="479"/>
        <w:rPr>
          <w:rFonts w:cs="宋体"/>
          <w:spacing w:val="22"/>
          <w:lang w:eastAsia="zh-CN"/>
        </w:rPr>
      </w:pPr>
      <w:r>
        <w:rPr>
          <w:rFonts w:hint="eastAsia" w:ascii="宋体" w:hAnsi="宋体" w:eastAsia="宋体" w:cs="宋体"/>
          <w:spacing w:val="0"/>
          <w:w w:val="100"/>
          <w:sz w:val="24"/>
          <w:lang w:eastAsia="zh-CN"/>
        </w:rPr>
        <w:t>项目位于</w:t>
      </w:r>
      <w:r>
        <w:rPr>
          <w:rFonts w:hint="eastAsia" w:ascii="宋体" w:hAnsi="宋体" w:eastAsia="宋体" w:cs="宋体"/>
          <w:spacing w:val="0"/>
          <w:w w:val="100"/>
          <w:sz w:val="24"/>
          <w:u w:val="single"/>
          <w:lang w:eastAsia="zh-CN"/>
        </w:rPr>
        <w:t xml:space="preserve"> 泰安市岱岳区山口镇学院西路以东，太平南街以北，滨河路以西，环山路东段以南 </w:t>
      </w:r>
      <w:r>
        <w:rPr>
          <w:rFonts w:hint="eastAsia" w:ascii="宋体" w:hAnsi="宋体" w:eastAsia="宋体" w:cs="宋体"/>
          <w:spacing w:val="0"/>
          <w:w w:val="100"/>
          <w:sz w:val="24"/>
          <w:lang w:eastAsia="zh-CN"/>
        </w:rPr>
        <w:t>。该项目总用地面积为</w:t>
      </w:r>
      <w:r>
        <w:rPr>
          <w:rFonts w:hint="eastAsia" w:ascii="宋体" w:hAnsi="宋体" w:eastAsia="宋体" w:cs="宋体"/>
          <w:spacing w:val="0"/>
          <w:w w:val="100"/>
          <w:sz w:val="24"/>
          <w:u w:val="single" w:color="000000"/>
          <w:lang w:eastAsia="zh-CN"/>
        </w:rPr>
        <w:t xml:space="preserve"> </w:t>
      </w:r>
      <w:r>
        <w:rPr>
          <w:rFonts w:hint="eastAsia" w:ascii="宋体" w:hAnsi="宋体" w:eastAsia="宋体" w:cs="宋体"/>
          <w:spacing w:val="0"/>
          <w:w w:val="100"/>
          <w:sz w:val="24"/>
          <w:u w:val="single" w:color="000000"/>
          <w:lang w:val="en-US" w:eastAsia="zh-CN"/>
        </w:rPr>
        <w:t>157158.44</w:t>
      </w:r>
      <w:r>
        <w:rPr>
          <w:rFonts w:hint="eastAsia" w:ascii="宋体" w:hAnsi="宋体" w:eastAsia="宋体" w:cs="宋体"/>
          <w:spacing w:val="0"/>
          <w:w w:val="100"/>
          <w:sz w:val="24"/>
          <w:u w:val="single" w:color="000000"/>
          <w:lang w:eastAsia="zh-CN"/>
        </w:rPr>
        <w:t xml:space="preserve"> </w:t>
      </w:r>
      <w:r>
        <w:rPr>
          <w:rFonts w:hint="eastAsia" w:ascii="宋体" w:hAnsi="宋体" w:eastAsia="宋体" w:cs="宋体"/>
          <w:spacing w:val="0"/>
          <w:w w:val="100"/>
          <w:sz w:val="24"/>
          <w:lang w:eastAsia="zh-CN"/>
        </w:rPr>
        <w:t>平方米，建筑面积为</w:t>
      </w:r>
      <w:r>
        <w:rPr>
          <w:rFonts w:hint="eastAsia" w:ascii="宋体" w:hAnsi="宋体" w:eastAsia="宋体" w:cs="宋体"/>
          <w:spacing w:val="0"/>
          <w:w w:val="100"/>
          <w:sz w:val="24"/>
          <w:u w:val="single"/>
          <w:lang w:val="en-US" w:eastAsia="zh-CN"/>
        </w:rPr>
        <w:t xml:space="preserve"> </w:t>
      </w:r>
      <w:r>
        <w:rPr>
          <w:rFonts w:hint="eastAsia" w:ascii="宋体" w:hAnsi="宋体" w:eastAsia="宋体" w:cs="宋体"/>
          <w:spacing w:val="0"/>
          <w:w w:val="100"/>
          <w:sz w:val="24"/>
          <w:u w:val="single" w:color="000000"/>
          <w:lang w:val="en-US" w:eastAsia="zh-CN"/>
        </w:rPr>
        <w:t xml:space="preserve">170255.78 </w:t>
      </w:r>
      <w:r>
        <w:rPr>
          <w:rFonts w:hint="eastAsia" w:ascii="宋体" w:hAnsi="宋体" w:eastAsia="宋体" w:cs="宋体"/>
          <w:spacing w:val="0"/>
          <w:w w:val="100"/>
          <w:sz w:val="24"/>
          <w:lang w:eastAsia="zh-CN"/>
        </w:rPr>
        <w:t>平方米。地上</w:t>
      </w:r>
      <w:r>
        <w:rPr>
          <w:rFonts w:hint="eastAsia" w:ascii="宋体" w:hAnsi="宋体" w:eastAsia="宋体" w:cs="宋体"/>
          <w:spacing w:val="0"/>
          <w:w w:val="100"/>
          <w:sz w:val="24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pacing w:val="0"/>
          <w:w w:val="100"/>
          <w:sz w:val="24"/>
          <w:u w:val="single"/>
          <w:lang w:val="en-US" w:eastAsia="zh-CN"/>
        </w:rPr>
        <w:t>7</w:t>
      </w:r>
      <w:r>
        <w:rPr>
          <w:rFonts w:hint="eastAsia" w:ascii="宋体" w:hAnsi="宋体" w:eastAsia="宋体" w:cs="宋体"/>
          <w:spacing w:val="0"/>
          <w:w w:val="100"/>
          <w:sz w:val="24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pacing w:val="0"/>
          <w:w w:val="100"/>
          <w:sz w:val="24"/>
          <w:lang w:eastAsia="zh-CN"/>
        </w:rPr>
        <w:t>层，地上面积</w:t>
      </w:r>
      <w:r>
        <w:rPr>
          <w:rFonts w:hint="eastAsia" w:ascii="宋体" w:hAnsi="宋体" w:eastAsia="宋体" w:cs="宋体"/>
          <w:spacing w:val="0"/>
          <w:w w:val="100"/>
          <w:sz w:val="24"/>
          <w:u w:val="single"/>
          <w:lang w:eastAsia="zh-CN"/>
        </w:rPr>
        <w:t xml:space="preserve"> </w:t>
      </w:r>
      <w:r>
        <w:rPr>
          <w:rFonts w:hint="eastAsia" w:cs="宋体"/>
          <w:spacing w:val="0"/>
          <w:w w:val="100"/>
          <w:sz w:val="24"/>
          <w:u w:val="single"/>
          <w:lang w:val="en-US" w:eastAsia="zh-CN"/>
        </w:rPr>
        <w:t>146955.78</w:t>
      </w:r>
      <w:r>
        <w:rPr>
          <w:rFonts w:hint="eastAsia" w:ascii="宋体" w:hAnsi="宋体" w:eastAsia="宋体" w:cs="宋体"/>
          <w:spacing w:val="0"/>
          <w:w w:val="100"/>
          <w:sz w:val="24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pacing w:val="0"/>
          <w:w w:val="100"/>
          <w:sz w:val="24"/>
          <w:lang w:eastAsia="zh-CN"/>
        </w:rPr>
        <w:t>平米，地下面积</w:t>
      </w:r>
      <w:r>
        <w:rPr>
          <w:rFonts w:hint="eastAsia" w:ascii="宋体" w:hAnsi="宋体" w:eastAsia="宋体" w:cs="宋体"/>
          <w:spacing w:val="0"/>
          <w:w w:val="100"/>
          <w:sz w:val="24"/>
          <w:u w:val="single"/>
          <w:lang w:eastAsia="zh-CN"/>
        </w:rPr>
        <w:t xml:space="preserve"> </w:t>
      </w:r>
      <w:r>
        <w:rPr>
          <w:rFonts w:hint="eastAsia" w:cs="宋体"/>
          <w:spacing w:val="0"/>
          <w:w w:val="100"/>
          <w:sz w:val="24"/>
          <w:u w:val="single"/>
          <w:lang w:val="en-US" w:eastAsia="zh-CN"/>
        </w:rPr>
        <w:t>23300.00</w:t>
      </w:r>
      <w:r>
        <w:rPr>
          <w:rFonts w:hint="eastAsia" w:ascii="宋体" w:hAnsi="宋体" w:eastAsia="宋体" w:cs="宋体"/>
          <w:spacing w:val="0"/>
          <w:w w:val="100"/>
          <w:sz w:val="24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pacing w:val="0"/>
          <w:w w:val="100"/>
          <w:sz w:val="24"/>
          <w:lang w:eastAsia="zh-CN"/>
        </w:rPr>
        <w:t>平米。</w:t>
      </w:r>
      <w:r>
        <w:rPr>
          <w:rFonts w:cs="宋体"/>
          <w:spacing w:val="22"/>
          <w:lang w:eastAsia="zh-CN"/>
        </w:rPr>
        <w:t xml:space="preserve"> </w:t>
      </w:r>
    </w:p>
    <w:p w14:paraId="7DA61E52">
      <w:pPr>
        <w:pStyle w:val="5"/>
        <w:tabs>
          <w:tab w:val="left" w:pos="1307"/>
          <w:tab w:val="left" w:pos="3703"/>
        </w:tabs>
        <w:spacing w:line="277" w:lineRule="auto"/>
        <w:ind w:left="338" w:right="327" w:firstLine="479"/>
        <w:rPr>
          <w:rFonts w:cs="宋体"/>
          <w:spacing w:val="22"/>
          <w:lang w:eastAsia="zh-CN"/>
        </w:rPr>
      </w:pPr>
    </w:p>
    <w:p w14:paraId="36B9EAED">
      <w:pPr>
        <w:pStyle w:val="5"/>
        <w:tabs>
          <w:tab w:val="left" w:pos="1307"/>
          <w:tab w:val="left" w:pos="3703"/>
        </w:tabs>
        <w:spacing w:line="277" w:lineRule="auto"/>
        <w:ind w:left="338" w:right="327" w:firstLine="479"/>
        <w:rPr>
          <w:rFonts w:cs="宋体"/>
          <w:spacing w:val="22"/>
          <w:lang w:eastAsia="zh-CN"/>
        </w:rPr>
      </w:pPr>
      <w:bookmarkStart w:id="0" w:name="_GoBack"/>
      <w:bookmarkEnd w:id="0"/>
    </w:p>
    <w:p w14:paraId="7267C7C8">
      <w:pPr>
        <w:rPr>
          <w:rFonts w:hint="eastAsia" w:ascii="宋体" w:hAnsi="宋体" w:eastAsia="宋体" w:cs="宋体"/>
          <w:spacing w:val="22"/>
          <w:sz w:val="24"/>
          <w:szCs w:val="24"/>
          <w:lang w:eastAsia="zh-CN"/>
        </w:rPr>
      </w:pPr>
      <w:r>
        <w:rPr>
          <w:rFonts w:cs="宋体"/>
          <w:spacing w:val="22"/>
          <w:lang w:eastAsia="zh-CN"/>
        </w:rPr>
        <w:br w:type="page"/>
      </w:r>
    </w:p>
    <w:p w14:paraId="4F3F6968">
      <w:pPr>
        <w:pStyle w:val="5"/>
        <w:tabs>
          <w:tab w:val="left" w:pos="1307"/>
          <w:tab w:val="left" w:pos="3703"/>
        </w:tabs>
        <w:spacing w:line="277" w:lineRule="auto"/>
        <w:ind w:right="327"/>
        <w:rPr>
          <w:rFonts w:cs="宋体"/>
          <w:b/>
          <w:bCs/>
          <w:lang w:eastAsia="zh-CN"/>
        </w:rPr>
      </w:pPr>
    </w:p>
    <w:p w14:paraId="59994F4D">
      <w:pPr>
        <w:pStyle w:val="5"/>
        <w:tabs>
          <w:tab w:val="left" w:pos="1307"/>
          <w:tab w:val="left" w:pos="3703"/>
        </w:tabs>
        <w:spacing w:line="277" w:lineRule="auto"/>
        <w:ind w:right="327"/>
        <w:rPr>
          <w:rFonts w:cs="宋体"/>
          <w:b/>
          <w:bCs/>
          <w:lang w:eastAsia="zh-CN"/>
        </w:rPr>
      </w:pPr>
      <w:r>
        <w:rPr>
          <w:rFonts w:cs="宋体"/>
          <w:b/>
          <w:bCs/>
          <w:lang w:eastAsia="zh-CN"/>
        </w:rPr>
        <w:t>公共交通站点距离：</w:t>
      </w:r>
    </w:p>
    <w:p w14:paraId="6960171F">
      <w:pPr>
        <w:pStyle w:val="5"/>
        <w:tabs>
          <w:tab w:val="left" w:pos="1307"/>
          <w:tab w:val="left" w:pos="3703"/>
        </w:tabs>
        <w:spacing w:line="277" w:lineRule="auto"/>
        <w:ind w:right="327"/>
        <w:rPr>
          <w:rFonts w:hint="eastAsia"/>
          <w:u w:val="single"/>
          <w:lang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hint="eastAsia" w:cs="宋体"/>
          <w:b/>
          <w:bCs/>
          <w:lang w:eastAsia="zh-CN"/>
        </w:rPr>
        <w:t>站点1：</w:t>
      </w:r>
      <w:r>
        <w:rPr>
          <w:rFonts w:cs="宋体"/>
          <w:b/>
          <w:bCs/>
          <w:u w:val="single"/>
          <w:lang w:eastAsia="zh-CN"/>
        </w:rPr>
        <w:t xml:space="preserve"> </w:t>
      </w:r>
      <w:r>
        <w:rPr>
          <w:rFonts w:hint="eastAsia" w:cs="宋体"/>
          <w:b/>
          <w:bCs/>
          <w:u w:val="single"/>
          <w:lang w:val="en-US" w:eastAsia="zh-CN"/>
        </w:rPr>
        <w:t>300</w:t>
      </w:r>
      <w:r>
        <w:rPr>
          <w:rFonts w:cs="宋体"/>
          <w:bCs/>
          <w:u w:val="single"/>
          <w:lang w:eastAsia="zh-CN"/>
        </w:rPr>
        <w:t xml:space="preserve">             </w:t>
      </w:r>
      <w:r>
        <w:rPr>
          <w:rFonts w:hint="eastAsia" w:cs="宋体"/>
          <w:bCs/>
          <w:u w:val="single"/>
          <w:lang w:eastAsia="zh-CN"/>
        </w:rPr>
        <w:t>米</w:t>
      </w:r>
    </w:p>
    <w:p w14:paraId="449FAE9B">
      <w:pPr>
        <w:pStyle w:val="5"/>
        <w:tabs>
          <w:tab w:val="left" w:pos="1305"/>
          <w:tab w:val="left" w:pos="3703"/>
        </w:tabs>
        <w:spacing w:line="277" w:lineRule="auto"/>
        <w:ind w:right="327"/>
        <w:rPr>
          <w:rFonts w:cs="宋体"/>
          <w:b/>
          <w:bCs/>
          <w:lang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hint="eastAsia" w:cs="宋体"/>
          <w:b/>
          <w:bCs/>
          <w:lang w:eastAsia="zh-CN"/>
        </w:rPr>
        <w:t>站点</w:t>
      </w:r>
      <w:r>
        <w:rPr>
          <w:rFonts w:cs="宋体"/>
          <w:b/>
          <w:bCs/>
          <w:lang w:eastAsia="zh-CN"/>
        </w:rPr>
        <w:t>2</w:t>
      </w:r>
      <w:r>
        <w:rPr>
          <w:rFonts w:hint="eastAsia" w:cs="宋体"/>
          <w:b/>
          <w:bCs/>
          <w:lang w:eastAsia="zh-CN"/>
        </w:rPr>
        <w:t>：</w:t>
      </w:r>
      <w:r>
        <w:rPr>
          <w:rFonts w:cs="宋体"/>
          <w:bCs/>
          <w:u w:val="single"/>
          <w:lang w:eastAsia="zh-CN"/>
        </w:rPr>
        <w:t xml:space="preserve"> </w:t>
      </w:r>
      <w:r>
        <w:rPr>
          <w:rFonts w:hint="eastAsia" w:cs="宋体"/>
          <w:bCs/>
          <w:u w:val="single"/>
          <w:lang w:val="en-US" w:eastAsia="zh-CN"/>
        </w:rPr>
        <w:t>140</w:t>
      </w:r>
      <w:r>
        <w:rPr>
          <w:rFonts w:cs="宋体"/>
          <w:bCs/>
          <w:u w:val="single"/>
          <w:lang w:eastAsia="zh-CN"/>
        </w:rPr>
        <w:t xml:space="preserve">             </w:t>
      </w:r>
      <w:r>
        <w:rPr>
          <w:rFonts w:hint="eastAsia" w:cs="宋体"/>
          <w:bCs/>
          <w:u w:val="single"/>
          <w:lang w:eastAsia="zh-CN"/>
        </w:rPr>
        <w:t>米</w:t>
      </w:r>
    </w:p>
    <w:p w14:paraId="63CA4E4C">
      <w:pPr>
        <w:spacing w:before="9"/>
        <w:rPr>
          <w:rFonts w:hint="eastAsia" w:ascii="Calibri" w:hAnsi="Calibri" w:cs="Calibri"/>
          <w:sz w:val="25"/>
          <w:szCs w:val="25"/>
          <w:lang w:eastAsia="zh-CN"/>
        </w:rPr>
      </w:pPr>
    </w:p>
    <w:p w14:paraId="53186EC4">
      <w:pPr>
        <w:pStyle w:val="4"/>
        <w:spacing w:before="0"/>
        <w:rPr>
          <w:rFonts w:cs="宋体"/>
          <w:lang w:eastAsia="zh-CN"/>
        </w:rPr>
      </w:pPr>
      <w:r>
        <w:rPr>
          <w:rFonts w:cs="宋体"/>
          <w:lang w:eastAsia="zh-CN"/>
        </w:rPr>
        <w:t>公交站点说明：</w:t>
      </w:r>
    </w:p>
    <w:p w14:paraId="16482669">
      <w:pPr>
        <w:pStyle w:val="4"/>
        <w:spacing w:before="0"/>
        <w:rPr>
          <w:b w:val="0"/>
          <w:w w:val="95"/>
          <w:u w:val="single"/>
          <w:lang w:eastAsia="zh-CN"/>
        </w:rPr>
      </w:pPr>
      <w:r>
        <w:rPr>
          <w:w w:val="95"/>
          <w:lang w:eastAsia="zh-CN"/>
        </w:rPr>
        <w:tab/>
      </w:r>
      <w:r>
        <w:rPr>
          <w:rFonts w:hint="eastAsia"/>
          <w:w w:val="95"/>
          <w:lang w:eastAsia="zh-CN"/>
        </w:rPr>
        <w:t>站点1包含</w:t>
      </w:r>
      <w:r>
        <w:rPr>
          <w:w w:val="95"/>
          <w:lang w:eastAsia="zh-CN"/>
        </w:rPr>
        <w:t>公家线路：</w:t>
      </w:r>
      <w:r>
        <w:rPr>
          <w:rFonts w:hint="eastAsia"/>
          <w:w w:val="95"/>
          <w:lang w:eastAsia="zh-CN"/>
        </w:rPr>
        <w:t xml:space="preserve"> </w:t>
      </w:r>
      <w:r>
        <w:rPr>
          <w:w w:val="95"/>
          <w:lang w:eastAsia="zh-CN"/>
        </w:rPr>
        <w:t xml:space="preserve"> </w:t>
      </w:r>
      <w:r>
        <w:rPr>
          <w:b w:val="0"/>
          <w:w w:val="95"/>
          <w:u w:val="single"/>
          <w:lang w:eastAsia="zh-CN"/>
        </w:rPr>
        <w:t xml:space="preserve"> </w:t>
      </w:r>
      <w:r>
        <w:rPr>
          <w:rFonts w:hint="eastAsia"/>
          <w:b w:val="0"/>
          <w:w w:val="95"/>
          <w:u w:val="single"/>
          <w:lang w:eastAsia="zh-CN"/>
        </w:rPr>
        <w:t>1路/K1路;210路;211路;230路</w:t>
      </w:r>
      <w:r>
        <w:rPr>
          <w:b w:val="0"/>
          <w:w w:val="95"/>
          <w:u w:val="single"/>
          <w:lang w:eastAsia="zh-CN"/>
        </w:rPr>
        <w:t xml:space="preserve">        </w:t>
      </w:r>
    </w:p>
    <w:p w14:paraId="710F2935">
      <w:pPr>
        <w:pStyle w:val="4"/>
        <w:spacing w:before="0"/>
        <w:ind w:firstLine="602"/>
        <w:rPr>
          <w:b w:val="0"/>
          <w:w w:val="95"/>
          <w:u w:val="single"/>
          <w:lang w:eastAsia="zh-CN"/>
        </w:rPr>
      </w:pPr>
      <w:r>
        <w:rPr>
          <w:rFonts w:hint="eastAsia"/>
          <w:w w:val="95"/>
          <w:lang w:eastAsia="zh-CN"/>
        </w:rPr>
        <w:t>站点</w:t>
      </w:r>
      <w:r>
        <w:rPr>
          <w:w w:val="95"/>
          <w:lang w:eastAsia="zh-CN"/>
        </w:rPr>
        <w:t>2</w:t>
      </w:r>
      <w:r>
        <w:rPr>
          <w:rFonts w:hint="eastAsia"/>
          <w:w w:val="95"/>
          <w:lang w:eastAsia="zh-CN"/>
        </w:rPr>
        <w:t>包含</w:t>
      </w:r>
      <w:r>
        <w:rPr>
          <w:w w:val="95"/>
          <w:lang w:eastAsia="zh-CN"/>
        </w:rPr>
        <w:t>公家线路：</w:t>
      </w:r>
      <w:r>
        <w:rPr>
          <w:rFonts w:hint="eastAsia"/>
          <w:w w:val="95"/>
          <w:lang w:eastAsia="zh-CN"/>
        </w:rPr>
        <w:t xml:space="preserve"> </w:t>
      </w:r>
      <w:r>
        <w:rPr>
          <w:w w:val="95"/>
          <w:lang w:eastAsia="zh-CN"/>
        </w:rPr>
        <w:t xml:space="preserve"> </w:t>
      </w:r>
      <w:r>
        <w:rPr>
          <w:b w:val="0"/>
          <w:w w:val="95"/>
          <w:u w:val="single"/>
          <w:lang w:eastAsia="zh-CN"/>
        </w:rPr>
        <w:t xml:space="preserve"> </w:t>
      </w:r>
      <w:r>
        <w:rPr>
          <w:rFonts w:hint="eastAsia"/>
          <w:b w:val="0"/>
          <w:w w:val="95"/>
          <w:u w:val="single"/>
          <w:lang w:val="en-US" w:eastAsia="zh-CN"/>
        </w:rPr>
        <w:t>211路</w:t>
      </w:r>
      <w:r>
        <w:rPr>
          <w:b w:val="0"/>
          <w:w w:val="95"/>
          <w:u w:val="single"/>
          <w:lang w:eastAsia="zh-CN"/>
        </w:rPr>
        <w:t xml:space="preserve">                                    </w:t>
      </w:r>
    </w:p>
    <w:p w14:paraId="5224EF68">
      <w:pPr>
        <w:pStyle w:val="4"/>
        <w:spacing w:before="0"/>
        <w:ind w:firstLine="602"/>
        <w:rPr>
          <w:b w:val="0"/>
          <w:w w:val="95"/>
          <w:u w:val="single"/>
          <w:lang w:eastAsia="zh-CN"/>
        </w:rPr>
      </w:pPr>
    </w:p>
    <w:p w14:paraId="276965C8">
      <w:pPr>
        <w:pStyle w:val="4"/>
        <w:spacing w:before="0"/>
        <w:rPr>
          <w:rFonts w:cs="宋体"/>
          <w:lang w:eastAsia="zh-CN"/>
        </w:rPr>
      </w:pPr>
      <w:r>
        <w:rPr>
          <w:rFonts w:cs="宋体"/>
          <w:lang w:eastAsia="zh-CN"/>
        </w:rPr>
        <w:t>公交站点</w:t>
      </w:r>
      <w:r>
        <w:rPr>
          <w:rFonts w:hint="eastAsia" w:cs="宋体"/>
          <w:lang w:eastAsia="zh-CN"/>
        </w:rPr>
        <w:t>图例</w:t>
      </w:r>
      <w:r>
        <w:rPr>
          <w:rFonts w:cs="宋体"/>
          <w:lang w:eastAsia="zh-CN"/>
        </w:rPr>
        <w:t>：</w:t>
      </w:r>
    </w:p>
    <w:p w14:paraId="1CBD8E01">
      <w:pPr>
        <w:pStyle w:val="4"/>
        <w:spacing w:before="0"/>
        <w:rPr>
          <w:rFonts w:hint="eastAsia"/>
          <w:b w:val="0"/>
          <w:bCs w:val="0"/>
          <w:u w:val="single"/>
          <w:lang w:eastAsia="zh-CN"/>
        </w:rPr>
      </w:pPr>
      <w:r>
        <w:rPr>
          <w:rFonts w:hint="eastAsia"/>
          <w:b w:val="0"/>
          <w:bCs w:val="0"/>
          <w:u w:val="single"/>
          <w:lang w:eastAsia="zh-CN"/>
        </w:rPr>
        <w:drawing>
          <wp:inline distT="0" distB="0" distL="114300" distR="114300">
            <wp:extent cx="5639435" cy="4481830"/>
            <wp:effectExtent l="0" t="0" r="18415" b="13970"/>
            <wp:docPr id="3" name="图片 3" descr="搜索 - 高德地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搜索 - 高德地图"/>
                    <pic:cNvPicPr>
                      <a:picLocks noChangeAspect="1"/>
                    </pic:cNvPicPr>
                  </pic:nvPicPr>
                  <pic:blipFill>
                    <a:blip r:embed="rId4"/>
                    <a:srcRect r="38830"/>
                    <a:stretch>
                      <a:fillRect/>
                    </a:stretch>
                  </pic:blipFill>
                  <pic:spPr>
                    <a:xfrm>
                      <a:off x="0" y="0"/>
                      <a:ext cx="5639435" cy="448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086EC">
      <w:pPr>
        <w:spacing w:line="311" w:lineRule="exact"/>
        <w:ind w:left="118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lang w:eastAsia="zh-CN"/>
        </w:rPr>
        <w:br w:type="column"/>
      </w:r>
      <w:r>
        <w:rPr>
          <w:rFonts w:ascii="微软雅黑" w:hAnsi="微软雅黑" w:eastAsia="微软雅黑" w:cs="微软雅黑"/>
          <w:sz w:val="21"/>
          <w:szCs w:val="21"/>
          <w:lang w:eastAsia="zh-CN"/>
        </w:rPr>
        <w:t xml:space="preserve"> </w:t>
      </w:r>
    </w:p>
    <w:p w14:paraId="384F29EC">
      <w:pPr>
        <w:pStyle w:val="5"/>
        <w:tabs>
          <w:tab w:val="left" w:pos="1307"/>
          <w:tab w:val="left" w:pos="3703"/>
        </w:tabs>
        <w:spacing w:line="277" w:lineRule="auto"/>
        <w:ind w:right="327"/>
        <w:rPr>
          <w:rFonts w:cs="宋体"/>
          <w:b/>
          <w:bCs/>
          <w:lang w:eastAsia="zh-CN"/>
        </w:rPr>
      </w:pPr>
      <w:r>
        <w:rPr>
          <w:rFonts w:cs="宋体"/>
          <w:b/>
          <w:bCs/>
          <w:lang w:eastAsia="zh-CN"/>
        </w:rPr>
        <w:t>公共</w:t>
      </w:r>
      <w:r>
        <w:rPr>
          <w:rFonts w:hint="eastAsia" w:cs="宋体"/>
          <w:b/>
          <w:bCs/>
          <w:lang w:eastAsia="zh-CN"/>
        </w:rPr>
        <w:t>服务</w:t>
      </w:r>
      <w:r>
        <w:rPr>
          <w:rFonts w:cs="宋体"/>
          <w:b/>
          <w:bCs/>
          <w:lang w:eastAsia="zh-CN"/>
        </w:rPr>
        <w:t>点距离：</w:t>
      </w:r>
    </w:p>
    <w:p w14:paraId="703931A6">
      <w:pPr>
        <w:pStyle w:val="5"/>
        <w:tabs>
          <w:tab w:val="left" w:pos="1307"/>
          <w:tab w:val="left" w:pos="3703"/>
        </w:tabs>
        <w:spacing w:line="277" w:lineRule="auto"/>
        <w:ind w:right="327"/>
        <w:rPr>
          <w:rFonts w:hint="eastAsia"/>
          <w:u w:val="single"/>
          <w:lang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hint="eastAsia" w:cs="宋体"/>
          <w:b/>
          <w:bCs/>
          <w:lang w:eastAsia="zh-CN"/>
        </w:rPr>
        <w:t>幼儿园：</w:t>
      </w:r>
      <w:r>
        <w:rPr>
          <w:rFonts w:cs="宋体"/>
          <w:b/>
          <w:bCs/>
          <w:u w:val="single"/>
          <w:lang w:eastAsia="zh-CN"/>
        </w:rPr>
        <w:t xml:space="preserve"> </w:t>
      </w:r>
      <w:r>
        <w:rPr>
          <w:rFonts w:cs="宋体"/>
          <w:bCs/>
          <w:u w:val="single"/>
          <w:lang w:eastAsia="zh-CN"/>
        </w:rPr>
        <w:t xml:space="preserve">             </w:t>
      </w:r>
      <w:r>
        <w:rPr>
          <w:rFonts w:hint="eastAsia" w:cs="宋体"/>
          <w:bCs/>
          <w:u w:val="single"/>
          <w:lang w:eastAsia="zh-CN"/>
        </w:rPr>
        <w:t>米</w:t>
      </w:r>
    </w:p>
    <w:p w14:paraId="19786644">
      <w:pPr>
        <w:pStyle w:val="5"/>
        <w:tabs>
          <w:tab w:val="left" w:pos="1305"/>
          <w:tab w:val="left" w:pos="3703"/>
        </w:tabs>
        <w:spacing w:line="277" w:lineRule="auto"/>
        <w:ind w:right="327"/>
        <w:rPr>
          <w:rFonts w:cs="宋体"/>
          <w:b/>
          <w:bCs/>
          <w:lang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hint="eastAsia" w:cs="宋体"/>
          <w:b/>
          <w:bCs/>
          <w:lang w:eastAsia="zh-CN"/>
        </w:rPr>
        <w:t>小  学：</w:t>
      </w:r>
      <w:r>
        <w:rPr>
          <w:rFonts w:cs="宋体"/>
          <w:bCs/>
          <w:u w:val="single"/>
          <w:lang w:eastAsia="zh-CN"/>
        </w:rPr>
        <w:t xml:space="preserve">              </w:t>
      </w:r>
      <w:r>
        <w:rPr>
          <w:rFonts w:hint="eastAsia" w:cs="宋体"/>
          <w:bCs/>
          <w:u w:val="single"/>
          <w:lang w:eastAsia="zh-CN"/>
        </w:rPr>
        <w:t>米</w:t>
      </w:r>
    </w:p>
    <w:p w14:paraId="5E2DC6A0">
      <w:pPr>
        <w:pStyle w:val="4"/>
        <w:spacing w:before="0"/>
        <w:ind w:left="0"/>
        <w:rPr>
          <w:rFonts w:hint="eastAsia"/>
          <w:b w:val="0"/>
          <w:w w:val="95"/>
          <w:u w:val="single"/>
          <w:lang w:eastAsia="zh-CN"/>
        </w:rPr>
      </w:pPr>
    </w:p>
    <w:p w14:paraId="3D8604A3">
      <w:pPr>
        <w:pStyle w:val="4"/>
        <w:spacing w:before="0"/>
        <w:rPr>
          <w:rFonts w:cs="宋体"/>
          <w:lang w:eastAsia="zh-CN"/>
        </w:rPr>
      </w:pPr>
      <w:r>
        <w:rPr>
          <w:rFonts w:cs="宋体"/>
          <w:lang w:eastAsia="zh-CN"/>
        </w:rPr>
        <w:t>公共</w:t>
      </w:r>
      <w:r>
        <w:rPr>
          <w:rFonts w:hint="eastAsia" w:cs="宋体"/>
          <w:bCs w:val="0"/>
          <w:lang w:eastAsia="zh-CN"/>
        </w:rPr>
        <w:t>服务</w:t>
      </w:r>
      <w:r>
        <w:rPr>
          <w:rFonts w:cs="宋体"/>
          <w:lang w:eastAsia="zh-CN"/>
        </w:rPr>
        <w:t>点</w:t>
      </w:r>
      <w:r>
        <w:rPr>
          <w:rFonts w:hint="eastAsia" w:cs="宋体"/>
          <w:lang w:eastAsia="zh-CN"/>
        </w:rPr>
        <w:t>图例</w:t>
      </w:r>
      <w:r>
        <w:rPr>
          <w:rFonts w:cs="宋体"/>
          <w:lang w:eastAsia="zh-CN"/>
        </w:rPr>
        <w:t>：</w:t>
      </w:r>
    </w:p>
    <w:p w14:paraId="37E2863B">
      <w:pPr>
        <w:pStyle w:val="4"/>
        <w:spacing w:before="0"/>
        <w:rPr>
          <w:rFonts w:hint="eastAsia" w:cs="宋体"/>
          <w:lang w:eastAsia="zh-CN"/>
        </w:rPr>
      </w:pPr>
    </w:p>
    <w:p w14:paraId="30289A7C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 w14:paraId="5F6B197D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 w14:paraId="2FFF5083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 w14:paraId="550174EF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 w14:paraId="6515A19E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 w14:paraId="7C89DB6D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 w14:paraId="4A66CF7F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 w14:paraId="1392E12B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 w14:paraId="74857688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 w14:paraId="1A4F2E85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 w14:paraId="2EC63986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 w14:paraId="1571D6FF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  <w:r>
        <w:rPr>
          <w:rFonts w:ascii="宋体" w:hAnsi="宋体" w:eastAsia="宋体" w:cs="宋体"/>
          <w:b/>
          <w:bCs/>
          <w:sz w:val="20"/>
          <w:szCs w:val="20"/>
          <w:lang w:eastAsia="zh-CN"/>
        </w:rPr>
        <w:br w:type="page"/>
      </w:r>
    </w:p>
    <w:p w14:paraId="7CB0B236">
      <w:pPr>
        <w:pStyle w:val="4"/>
        <w:ind w:left="0"/>
        <w:rPr>
          <w:rFonts w:hint="eastAsia"/>
          <w:lang w:eastAsia="zh-CN"/>
        </w:rPr>
      </w:pPr>
    </w:p>
    <w:p w14:paraId="61667A69">
      <w:pPr>
        <w:pStyle w:val="4"/>
        <w:ind w:left="338"/>
        <w:rPr>
          <w:lang w:eastAsia="zh-CN"/>
        </w:rPr>
      </w:pPr>
      <w:r>
        <w:rPr>
          <w:rFonts w:hint="eastAsia"/>
          <w:lang w:eastAsia="zh-CN"/>
        </w:rPr>
        <w:t>结论</w:t>
      </w:r>
      <w:r>
        <w:rPr>
          <w:lang w:eastAsia="zh-CN"/>
        </w:rPr>
        <w:t>：</w:t>
      </w:r>
    </w:p>
    <w:p w14:paraId="406DA52A">
      <w:pPr>
        <w:pStyle w:val="4"/>
        <w:ind w:left="338"/>
        <w:rPr>
          <w:lang w:eastAsia="zh-CN"/>
        </w:rPr>
      </w:pPr>
      <w:r>
        <w:rPr>
          <w:lang w:eastAsia="zh-CN"/>
        </w:rPr>
        <w:tab/>
      </w:r>
      <w:r>
        <w:rPr>
          <w:rFonts w:hint="eastAsia"/>
          <w:lang w:eastAsia="zh-CN"/>
        </w:rPr>
        <w:t>本项目</w:t>
      </w:r>
      <w:r>
        <w:rPr>
          <w:lang w:eastAsia="zh-CN"/>
        </w:rPr>
        <w:t>为</w:t>
      </w:r>
      <w:r>
        <w:rPr>
          <w:rFonts w:hint="eastAsia"/>
          <w:lang w:eastAsia="zh-CN"/>
        </w:rPr>
        <w:t>公共建筑</w:t>
      </w:r>
      <w:r>
        <w:rPr>
          <w:lang w:eastAsia="zh-CN"/>
        </w:rPr>
        <w:t>，</w:t>
      </w:r>
      <w:r>
        <w:rPr>
          <w:rFonts w:hint="eastAsia"/>
          <w:lang w:eastAsia="zh-CN"/>
        </w:rPr>
        <w:t>满足</w:t>
      </w:r>
      <w:r>
        <w:rPr>
          <w:lang w:eastAsia="zh-CN"/>
        </w:rPr>
        <w:t>第</w:t>
      </w:r>
      <w:r>
        <w:rPr>
          <w:rFonts w:hint="eastAsia"/>
          <w:lang w:val="en-US" w:eastAsia="zh-CN"/>
        </w:rPr>
        <w:t>6.2.1</w:t>
      </w:r>
      <w:r>
        <w:rPr>
          <w:lang w:eastAsia="zh-CN"/>
        </w:rPr>
        <w:t>条要求，可得</w:t>
      </w:r>
      <w:r>
        <w:rPr>
          <w:rFonts w:hint="eastAsia"/>
          <w:lang w:val="en-US" w:eastAsia="zh-CN"/>
        </w:rPr>
        <w:t>8</w:t>
      </w:r>
      <w:r>
        <w:rPr>
          <w:lang w:eastAsia="zh-CN"/>
        </w:rPr>
        <w:t>分。</w:t>
      </w:r>
    </w:p>
    <w:p w14:paraId="6296FCE4">
      <w:pPr>
        <w:pStyle w:val="4"/>
        <w:ind w:left="338"/>
        <w:rPr>
          <w:lang w:eastAsia="zh-CN"/>
        </w:rPr>
      </w:pPr>
      <w:r>
        <w:rPr>
          <w:lang w:eastAsia="zh-CN"/>
        </w:rPr>
        <w:tab/>
      </w:r>
      <w:r>
        <w:rPr>
          <w:rFonts w:hint="eastAsia"/>
          <w:lang w:eastAsia="zh-CN"/>
        </w:rPr>
        <w:t>本项目</w:t>
      </w:r>
      <w:r>
        <w:rPr>
          <w:lang w:eastAsia="zh-CN"/>
        </w:rPr>
        <w:t>为</w:t>
      </w:r>
      <w:r>
        <w:rPr>
          <w:rFonts w:hint="eastAsia"/>
          <w:lang w:eastAsia="zh-CN"/>
        </w:rPr>
        <w:t>公共建筑</w:t>
      </w:r>
      <w:r>
        <w:rPr>
          <w:lang w:eastAsia="zh-CN"/>
        </w:rPr>
        <w:t>，</w:t>
      </w:r>
      <w:r>
        <w:rPr>
          <w:rFonts w:hint="eastAsia"/>
          <w:lang w:val="en-US" w:eastAsia="zh-CN"/>
        </w:rPr>
        <w:t>不</w:t>
      </w:r>
      <w:r>
        <w:rPr>
          <w:rFonts w:hint="eastAsia"/>
          <w:lang w:eastAsia="zh-CN"/>
        </w:rPr>
        <w:t>满足</w:t>
      </w:r>
      <w:r>
        <w:rPr>
          <w:lang w:eastAsia="zh-CN"/>
        </w:rPr>
        <w:t>第</w:t>
      </w:r>
      <w:r>
        <w:rPr>
          <w:rFonts w:hint="eastAsia"/>
          <w:lang w:val="en-US" w:eastAsia="zh-CN"/>
        </w:rPr>
        <w:t>6.2.3.2</w:t>
      </w:r>
      <w:r>
        <w:rPr>
          <w:lang w:eastAsia="zh-CN"/>
        </w:rPr>
        <w:t>条要求，可得</w:t>
      </w:r>
      <w:r>
        <w:rPr>
          <w:rFonts w:hint="eastAsia"/>
          <w:lang w:val="en-US" w:eastAsia="zh-CN"/>
        </w:rPr>
        <w:t>0</w:t>
      </w:r>
      <w:r>
        <w:rPr>
          <w:lang w:eastAsia="zh-CN"/>
        </w:rPr>
        <w:t>分。</w:t>
      </w:r>
    </w:p>
    <w:p w14:paraId="2F809B64">
      <w:pPr>
        <w:pStyle w:val="4"/>
        <w:ind w:left="338"/>
        <w:rPr>
          <w:rFonts w:hint="eastAsia"/>
          <w:lang w:eastAsia="zh-CN"/>
        </w:rPr>
      </w:pPr>
      <w:r>
        <w:rPr>
          <w:lang w:eastAsia="zh-CN"/>
        </w:rPr>
        <w:tab/>
      </w:r>
      <w:r>
        <w:rPr>
          <w:rFonts w:hint="eastAsia"/>
          <w:lang w:eastAsia="zh-CN"/>
        </w:rPr>
        <w:t>本项目</w:t>
      </w:r>
      <w:r>
        <w:rPr>
          <w:lang w:eastAsia="zh-CN"/>
        </w:rPr>
        <w:t>为</w:t>
      </w:r>
      <w:r>
        <w:rPr>
          <w:rFonts w:hint="eastAsia"/>
          <w:lang w:eastAsia="zh-CN"/>
        </w:rPr>
        <w:t>公共建筑</w:t>
      </w:r>
      <w:r>
        <w:rPr>
          <w:lang w:eastAsia="zh-CN"/>
        </w:rPr>
        <w:t>，</w:t>
      </w:r>
      <w:r>
        <w:rPr>
          <w:rFonts w:hint="eastAsia"/>
          <w:lang w:eastAsia="zh-CN"/>
        </w:rPr>
        <w:t>满足</w:t>
      </w:r>
      <w:r>
        <w:rPr>
          <w:lang w:eastAsia="zh-CN"/>
        </w:rPr>
        <w:t>第</w:t>
      </w:r>
      <w:r>
        <w:rPr>
          <w:rFonts w:hint="eastAsia"/>
          <w:lang w:val="en-US" w:eastAsia="zh-CN"/>
        </w:rPr>
        <w:t>6.2.4</w:t>
      </w:r>
      <w:r>
        <w:rPr>
          <w:lang w:eastAsia="zh-CN"/>
        </w:rPr>
        <w:t>条要求，可得</w:t>
      </w:r>
      <w:r>
        <w:rPr>
          <w:rFonts w:hint="eastAsia"/>
          <w:lang w:val="en-US" w:eastAsia="zh-CN"/>
        </w:rPr>
        <w:t>5</w:t>
      </w:r>
      <w:r>
        <w:rPr>
          <w:lang w:eastAsia="zh-CN"/>
        </w:rPr>
        <w:t>分。</w:t>
      </w:r>
    </w:p>
    <w:p w14:paraId="21AB6F5E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sectPr>
      <w:type w:val="continuous"/>
      <w:pgSz w:w="11910" w:h="16840"/>
      <w:pgMar w:top="1580" w:right="1680" w:bottom="280" w:left="168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BD6183"/>
    <w:rsid w:val="0000133F"/>
    <w:rsid w:val="00094062"/>
    <w:rsid w:val="00142AA0"/>
    <w:rsid w:val="001A3623"/>
    <w:rsid w:val="00281291"/>
    <w:rsid w:val="004B6737"/>
    <w:rsid w:val="006D6EF4"/>
    <w:rsid w:val="00BD6183"/>
    <w:rsid w:val="00CC7FC2"/>
    <w:rsid w:val="00E57C91"/>
    <w:rsid w:val="09927F4F"/>
    <w:rsid w:val="0ACA0AE6"/>
    <w:rsid w:val="16E75FAC"/>
    <w:rsid w:val="185B441A"/>
    <w:rsid w:val="1BA574B5"/>
    <w:rsid w:val="1C294842"/>
    <w:rsid w:val="2D5B0462"/>
    <w:rsid w:val="408947E4"/>
    <w:rsid w:val="411221C2"/>
    <w:rsid w:val="57490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styleId="2">
    <w:name w:val="heading 1"/>
    <w:basedOn w:val="1"/>
    <w:qFormat/>
    <w:uiPriority w:val="1"/>
    <w:pPr>
      <w:ind w:left="1858" w:hanging="144"/>
      <w:outlineLvl w:val="0"/>
    </w:pPr>
    <w:rPr>
      <w:rFonts w:ascii="微软雅黑" w:hAnsi="微软雅黑" w:eastAsia="微软雅黑"/>
      <w:b/>
      <w:bCs/>
      <w:sz w:val="48"/>
      <w:szCs w:val="48"/>
    </w:rPr>
  </w:style>
  <w:style w:type="paragraph" w:styleId="3">
    <w:name w:val="heading 2"/>
    <w:basedOn w:val="1"/>
    <w:qFormat/>
    <w:uiPriority w:val="1"/>
    <w:pPr>
      <w:ind w:left="1593"/>
      <w:outlineLvl w:val="1"/>
    </w:pPr>
    <w:rPr>
      <w:rFonts w:ascii="微软雅黑" w:hAnsi="微软雅黑" w:eastAsia="微软雅黑"/>
      <w:b/>
      <w:bCs/>
      <w:sz w:val="32"/>
      <w:szCs w:val="32"/>
    </w:rPr>
  </w:style>
  <w:style w:type="paragraph" w:styleId="4">
    <w:name w:val="heading 3"/>
    <w:basedOn w:val="1"/>
    <w:qFormat/>
    <w:uiPriority w:val="1"/>
    <w:pPr>
      <w:spacing w:before="26"/>
      <w:ind w:left="118"/>
      <w:outlineLvl w:val="2"/>
    </w:pPr>
    <w:rPr>
      <w:rFonts w:ascii="宋体" w:hAnsi="宋体" w:eastAsia="宋体"/>
      <w:b/>
      <w:bCs/>
      <w:sz w:val="24"/>
      <w:szCs w:val="24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pPr>
      <w:ind w:left="118"/>
    </w:pPr>
    <w:rPr>
      <w:rFonts w:ascii="宋体" w:hAnsi="宋体" w:eastAsia="宋体"/>
      <w:sz w:val="24"/>
      <w:szCs w:val="24"/>
    </w:rPr>
  </w:style>
  <w:style w:type="paragraph" w:styleId="6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customStyle="1" w:styleId="10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List Paragraph"/>
    <w:basedOn w:val="1"/>
    <w:qFormat/>
    <w:uiPriority w:val="1"/>
  </w:style>
  <w:style w:type="paragraph" w:customStyle="1" w:styleId="12">
    <w:name w:val="Table Paragraph"/>
    <w:basedOn w:val="1"/>
    <w:qFormat/>
    <w:uiPriority w:val="1"/>
  </w:style>
  <w:style w:type="character" w:customStyle="1" w:styleId="13">
    <w:name w:val="页眉 Char"/>
    <w:basedOn w:val="9"/>
    <w:link w:val="7"/>
    <w:qFormat/>
    <w:uiPriority w:val="99"/>
    <w:rPr>
      <w:sz w:val="18"/>
      <w:szCs w:val="18"/>
    </w:rPr>
  </w:style>
  <w:style w:type="character" w:customStyle="1" w:styleId="14">
    <w:name w:val="页脚 Char"/>
    <w:basedOn w:val="9"/>
    <w:link w:val="6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933</Words>
  <Characters>1073</Characters>
  <Lines>10</Lines>
  <Paragraphs>2</Paragraphs>
  <TotalTime>11</TotalTime>
  <ScaleCrop>false</ScaleCrop>
  <LinksUpToDate>false</LinksUpToDate>
  <CharactersWithSpaces>1390</CharactersWithSpaces>
  <Application>WPS Office_12.1.0.22525_F1E327BC-269C-435d-A152-05C5408002CA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2020-01-09T10:59:00Z</dcterms:created>
  <dc:creator>p</dc:creator>
  <cp:lastModifiedBy>友誼</cp:lastModifiedBy>
  <dcterms:modified xsi:type="dcterms:W3CDTF">2025-09-08T08:55:26Z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2016-07-06T00:00:00Z</vt:filetime>
  </property>
  <property fmtid="{D5CDD505-2E9C-101B-9397-08002B2CF9AE}" pid="3" name="LastSaved">
    <vt:filetime>2020-01-09T00:00:00Z</vt:filetime>
  </property>
  <property fmtid="{D5CDD505-2E9C-101B-9397-08002B2CF9AE}" pid="4" name="KSOTemplateDocerSaveRecord">
    <vt:lpwstr>eyJoZGlkIjoiNDc2ZDFiOWVlMjdkYjI2MDhhMWNjOWEwMGJiODFmYWEiLCJ1c2VySWQiOiI0MDM1NDI5MDIifQ==</vt:lpwstr>
  </property>
  <property fmtid="{D5CDD505-2E9C-101B-9397-08002B2CF9AE}" pid="5" name="KSOProductBuildVer">
    <vt:lpwstr>2052-12.1.0.22525</vt:lpwstr>
  </property>
  <property fmtid="{D5CDD505-2E9C-101B-9397-08002B2CF9AE}" pid="6" name="ICV">
    <vt:lpwstr>E36B79BD23404352A94C73C7E24EE02E_12</vt:lpwstr>
  </property>
</Properties>
</file>