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6AA9C4">
      <w:pPr>
        <w:pStyle w:val="2"/>
        <w:jc w:val="center"/>
      </w:pPr>
      <w:r>
        <w:rPr>
          <w:rFonts w:hint="eastAsia"/>
        </w:rPr>
        <w:t>场地年径流量控制率计算书</w:t>
      </w:r>
    </w:p>
    <w:p w14:paraId="501F32D0"/>
    <w:p w14:paraId="56AA3425">
      <w:pPr>
        <w:pStyle w:val="2"/>
        <w:spacing w:after="31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/>
          <w:b w:val="0"/>
          <w:sz w:val="28"/>
          <w:szCs w:val="28"/>
        </w:rPr>
        <w:t>工程名称：</w:t>
      </w:r>
      <w:r>
        <w:rPr>
          <w:rFonts w:hint="eastAsia"/>
          <w:szCs w:val="21"/>
          <w:u w:val="single"/>
          <w:lang w:val="en-US" w:eastAsia="zh-CN"/>
        </w:rPr>
        <w:t>泰山科技学院（新校区）二期二阶段14#、16#宿舍楼</w:t>
      </w:r>
    </w:p>
    <w:p w14:paraId="6E50A604">
      <w:pPr>
        <w:ind w:left="2793" w:leftChars="1330" w:firstLine="140" w:firstLineChars="50"/>
        <w:rPr>
          <w:rFonts w:hint="eastAsia"/>
          <w:b/>
          <w:sz w:val="28"/>
          <w:szCs w:val="28"/>
        </w:rPr>
      </w:pPr>
    </w:p>
    <w:p w14:paraId="601EE4FB">
      <w:pPr>
        <w:ind w:firstLine="1255" w:firstLineChars="448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编制单位：山东</w:t>
      </w:r>
      <w:r>
        <w:rPr>
          <w:rFonts w:hint="eastAsia"/>
          <w:b/>
          <w:sz w:val="28"/>
          <w:szCs w:val="28"/>
          <w:lang w:val="en-US" w:eastAsia="zh-CN"/>
        </w:rPr>
        <w:t>博宇</w:t>
      </w:r>
      <w:r>
        <w:rPr>
          <w:rFonts w:hint="eastAsia"/>
          <w:b/>
          <w:sz w:val="28"/>
          <w:szCs w:val="28"/>
        </w:rPr>
        <w:t>建筑设计有限</w:t>
      </w:r>
      <w:r>
        <w:rPr>
          <w:rFonts w:hint="eastAsia"/>
          <w:b/>
          <w:sz w:val="28"/>
          <w:szCs w:val="28"/>
          <w:lang w:val="en-US" w:eastAsia="zh-CN"/>
        </w:rPr>
        <w:t>责任</w:t>
      </w:r>
      <w:r>
        <w:rPr>
          <w:rFonts w:hint="eastAsia"/>
          <w:b/>
          <w:sz w:val="28"/>
          <w:szCs w:val="28"/>
        </w:rPr>
        <w:t xml:space="preserve">公司 </w:t>
      </w:r>
    </w:p>
    <w:p w14:paraId="3BA12520">
      <w:pPr>
        <w:ind w:firstLine="1255" w:firstLineChars="448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编 制 人：</w:t>
      </w:r>
    </w:p>
    <w:p w14:paraId="4E02EF13">
      <w:pPr>
        <w:ind w:firstLine="1255" w:firstLineChars="448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校 对 人：</w:t>
      </w:r>
    </w:p>
    <w:p w14:paraId="17067E2D">
      <w:pPr>
        <w:ind w:firstLine="1255" w:firstLineChars="448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审 核 人：</w:t>
      </w:r>
    </w:p>
    <w:p w14:paraId="703F71A1">
      <w:pPr>
        <w:spacing w:after="312"/>
        <w:ind w:firstLine="1255" w:firstLineChars="448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编制时间：</w:t>
      </w:r>
      <w:r>
        <w:rPr>
          <w:rFonts w:hint="eastAsia"/>
          <w:sz w:val="28"/>
          <w:szCs w:val="28"/>
        </w:rPr>
        <w:t>二0二</w:t>
      </w:r>
      <w:r>
        <w:rPr>
          <w:rFonts w:hint="eastAsia"/>
          <w:sz w:val="28"/>
          <w:szCs w:val="28"/>
          <w:lang w:val="en-US" w:eastAsia="zh-CN"/>
        </w:rPr>
        <w:t>五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八</w:t>
      </w:r>
      <w:r>
        <w:rPr>
          <w:rFonts w:hint="eastAsia"/>
          <w:sz w:val="28"/>
          <w:szCs w:val="28"/>
        </w:rPr>
        <w:t>月二十日</w:t>
      </w:r>
    </w:p>
    <w:p w14:paraId="152599EF"/>
    <w:p w14:paraId="506147C1"/>
    <w:p w14:paraId="5607BC84"/>
    <w:p w14:paraId="04F816EE"/>
    <w:p w14:paraId="09BCAF37"/>
    <w:p w14:paraId="20BCA67A"/>
    <w:p w14:paraId="7D10B4CB"/>
    <w:p w14:paraId="757183C7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127300EF">
      <w:pPr>
        <w:jc w:val="center"/>
        <w:rPr>
          <w:rFonts w:ascii="宋体" w:hAnsi="宋体" w:eastAsia="宋体"/>
          <w:sz w:val="32"/>
          <w:szCs w:val="32"/>
        </w:rPr>
      </w:pPr>
    </w:p>
    <w:p w14:paraId="761C72E0">
      <w:pPr>
        <w:jc w:val="center"/>
        <w:rPr>
          <w:rFonts w:ascii="宋体" w:hAnsi="宋体" w:eastAsia="宋体"/>
          <w:sz w:val="32"/>
          <w:szCs w:val="32"/>
        </w:rPr>
      </w:pPr>
    </w:p>
    <w:p w14:paraId="669A7E75">
      <w:pPr>
        <w:jc w:val="center"/>
        <w:rPr>
          <w:rFonts w:ascii="宋体" w:hAnsi="宋体" w:eastAsia="宋体"/>
          <w:sz w:val="32"/>
          <w:szCs w:val="32"/>
        </w:rPr>
      </w:pPr>
    </w:p>
    <w:p w14:paraId="14AB898C">
      <w:pPr>
        <w:jc w:val="center"/>
        <w:rPr>
          <w:rFonts w:ascii="宋体" w:hAnsi="宋体" w:eastAsia="宋体"/>
          <w:sz w:val="32"/>
          <w:szCs w:val="32"/>
        </w:rPr>
      </w:pPr>
    </w:p>
    <w:p w14:paraId="49141D1E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3C9DDF43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579FA66B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项目概况</w:t>
      </w:r>
    </w:p>
    <w:p w14:paraId="50517D58">
      <w:pPr>
        <w:ind w:firstLine="42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本项目位于泰安市环山东路，周边</w:t>
      </w:r>
      <w:r>
        <w:rPr>
          <w:rFonts w:hint="eastAsia" w:ascii="宋体" w:hAnsi="宋体" w:eastAsia="宋体"/>
          <w:sz w:val="32"/>
          <w:szCs w:val="32"/>
        </w:rPr>
        <w:t>各种配套比较齐全</w:t>
      </w:r>
      <w:r>
        <w:rPr>
          <w:rFonts w:ascii="宋体" w:hAnsi="宋体" w:eastAsia="宋体"/>
          <w:sz w:val="32"/>
          <w:szCs w:val="32"/>
        </w:rPr>
        <w:t>。</w:t>
      </w:r>
    </w:p>
    <w:p w14:paraId="183DA2A4">
      <w:pPr>
        <w:ind w:firstLine="420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占地面积302400㎡，建筑面积97857.65m²；总</w:t>
      </w:r>
      <w:bookmarkStart w:id="0" w:name="_GoBack"/>
      <w:bookmarkEnd w:id="0"/>
      <w:r>
        <w:rPr>
          <w:rFonts w:hint="eastAsia" w:ascii="宋体" w:hAnsi="宋体" w:eastAsia="宋体"/>
          <w:sz w:val="32"/>
          <w:szCs w:val="32"/>
          <w:lang w:val="en-US" w:eastAsia="zh-CN"/>
        </w:rPr>
        <w:t>建筑面积255483.76㎡。</w:t>
      </w:r>
      <w:r>
        <w:rPr>
          <w:rFonts w:hint="eastAsia" w:ascii="宋体" w:hAnsi="宋体" w:eastAsia="宋体"/>
          <w:sz w:val="32"/>
          <w:szCs w:val="32"/>
        </w:rPr>
        <w:t>项目容积率约为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0.76</w:t>
      </w:r>
      <w:r>
        <w:rPr>
          <w:rFonts w:hint="eastAsia" w:ascii="宋体" w:hAnsi="宋体" w:eastAsia="宋体"/>
          <w:sz w:val="32"/>
          <w:szCs w:val="32"/>
        </w:rPr>
        <w:t>，绿地率为35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.01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70FF3FC4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eastAsia="zh-CN"/>
        </w:rPr>
        <w:drawing>
          <wp:inline distT="0" distB="0" distL="114300" distR="114300">
            <wp:extent cx="4373245" cy="4039870"/>
            <wp:effectExtent l="0" t="0" r="8255" b="17780"/>
            <wp:docPr id="5" name="图片 5" descr="二期鸟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二期鸟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FC1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图1项目鸟瞰图</w:t>
      </w:r>
    </w:p>
    <w:p w14:paraId="379CAD0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 xml:space="preserve">. </w:t>
      </w:r>
      <w:r>
        <w:rPr>
          <w:rFonts w:hint="eastAsia" w:ascii="宋体" w:hAnsi="宋体" w:eastAsia="宋体"/>
          <w:sz w:val="32"/>
          <w:szCs w:val="32"/>
        </w:rPr>
        <w:t>气象条件</w:t>
      </w:r>
    </w:p>
    <w:p w14:paraId="473C77AB"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泰安</w:t>
      </w:r>
      <w:r>
        <w:rPr>
          <w:rFonts w:hint="eastAsia" w:ascii="宋体" w:hAnsi="宋体" w:eastAsia="宋体"/>
          <w:sz w:val="32"/>
          <w:szCs w:val="32"/>
        </w:rPr>
        <w:t>属暖温带温润性季风气候，四季分明，雨热同季，春季较干多风，夏季高温多雨，秋季天高气爽，冬季冷而少雪，全年平均气温</w:t>
      </w:r>
      <w:r>
        <w:rPr>
          <w:rFonts w:ascii="宋体" w:hAnsi="宋体" w:eastAsia="宋体"/>
          <w:sz w:val="32"/>
          <w:szCs w:val="32"/>
        </w:rPr>
        <w:t>13摄氏度，每年平均降水量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697</w:t>
      </w:r>
      <w:r>
        <w:rPr>
          <w:rFonts w:ascii="宋体" w:hAnsi="宋体" w:eastAsia="宋体"/>
          <w:sz w:val="32"/>
          <w:szCs w:val="32"/>
        </w:rPr>
        <w:t>毫米，年内无霜期200多天。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泰安</w:t>
      </w:r>
      <w:r>
        <w:rPr>
          <w:rFonts w:hint="eastAsia" w:ascii="宋体" w:hAnsi="宋体" w:eastAsia="宋体"/>
          <w:sz w:val="32"/>
          <w:szCs w:val="32"/>
        </w:rPr>
        <w:t>市降雨量资料见表1（数据来自山东气象局网站）。</w:t>
      </w:r>
    </w:p>
    <w:p w14:paraId="2FBAADC5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表1年降雨量气候资料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34"/>
        <w:gridCol w:w="633"/>
        <w:gridCol w:w="632"/>
        <w:gridCol w:w="632"/>
        <w:gridCol w:w="633"/>
        <w:gridCol w:w="634"/>
        <w:gridCol w:w="666"/>
        <w:gridCol w:w="666"/>
        <w:gridCol w:w="634"/>
        <w:gridCol w:w="663"/>
        <w:gridCol w:w="663"/>
        <w:gridCol w:w="606"/>
      </w:tblGrid>
      <w:tr w14:paraId="39A7B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0B514C1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月份</w:t>
            </w:r>
          </w:p>
        </w:tc>
        <w:tc>
          <w:tcPr>
            <w:tcW w:w="634" w:type="dxa"/>
          </w:tcPr>
          <w:p w14:paraId="5BBF3D76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33" w:type="dxa"/>
          </w:tcPr>
          <w:p w14:paraId="4A2E3D3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</w:p>
        </w:tc>
        <w:tc>
          <w:tcPr>
            <w:tcW w:w="632" w:type="dxa"/>
          </w:tcPr>
          <w:p w14:paraId="6A4ABE5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</w:p>
        </w:tc>
        <w:tc>
          <w:tcPr>
            <w:tcW w:w="632" w:type="dxa"/>
          </w:tcPr>
          <w:p w14:paraId="5A29ACB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</w:p>
        </w:tc>
        <w:tc>
          <w:tcPr>
            <w:tcW w:w="633" w:type="dxa"/>
          </w:tcPr>
          <w:p w14:paraId="6CAB90E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256E7BC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 w14:paraId="44FE6752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02E02B65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8</w:t>
            </w:r>
          </w:p>
        </w:tc>
        <w:tc>
          <w:tcPr>
            <w:tcW w:w="634" w:type="dxa"/>
          </w:tcPr>
          <w:p w14:paraId="271C488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</w:p>
        </w:tc>
        <w:tc>
          <w:tcPr>
            <w:tcW w:w="663" w:type="dxa"/>
          </w:tcPr>
          <w:p w14:paraId="6BE99DA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0</w:t>
            </w:r>
          </w:p>
        </w:tc>
        <w:tc>
          <w:tcPr>
            <w:tcW w:w="663" w:type="dxa"/>
          </w:tcPr>
          <w:p w14:paraId="052378D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06" w:type="dxa"/>
          </w:tcPr>
          <w:p w14:paraId="13E7DF8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2</w:t>
            </w:r>
          </w:p>
        </w:tc>
      </w:tr>
      <w:tr w14:paraId="024F2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5437D9E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降雨量（mm）</w:t>
            </w:r>
          </w:p>
        </w:tc>
        <w:tc>
          <w:tcPr>
            <w:tcW w:w="634" w:type="dxa"/>
          </w:tcPr>
          <w:p w14:paraId="0EE7D03B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3" w:type="dxa"/>
          </w:tcPr>
          <w:p w14:paraId="58DEC53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2" w:type="dxa"/>
          </w:tcPr>
          <w:p w14:paraId="365C941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8.3</w:t>
            </w:r>
          </w:p>
        </w:tc>
        <w:tc>
          <w:tcPr>
            <w:tcW w:w="632" w:type="dxa"/>
          </w:tcPr>
          <w:p w14:paraId="4CA873C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7.0</w:t>
            </w:r>
          </w:p>
        </w:tc>
        <w:tc>
          <w:tcPr>
            <w:tcW w:w="633" w:type="dxa"/>
          </w:tcPr>
          <w:p w14:paraId="17D1BE0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  <w:r>
              <w:rPr>
                <w:rFonts w:ascii="宋体" w:hAnsi="宋体" w:eastAsia="宋体"/>
                <w:sz w:val="18"/>
                <w:szCs w:val="18"/>
              </w:rPr>
              <w:t>3.6</w:t>
            </w:r>
          </w:p>
        </w:tc>
        <w:tc>
          <w:tcPr>
            <w:tcW w:w="634" w:type="dxa"/>
          </w:tcPr>
          <w:p w14:paraId="1D4420F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0.6</w:t>
            </w:r>
          </w:p>
        </w:tc>
        <w:tc>
          <w:tcPr>
            <w:tcW w:w="634" w:type="dxa"/>
          </w:tcPr>
          <w:p w14:paraId="1C85894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09.9</w:t>
            </w:r>
          </w:p>
        </w:tc>
        <w:tc>
          <w:tcPr>
            <w:tcW w:w="634" w:type="dxa"/>
          </w:tcPr>
          <w:p w14:paraId="3F0A0E0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51.4</w:t>
            </w:r>
          </w:p>
        </w:tc>
        <w:tc>
          <w:tcPr>
            <w:tcW w:w="634" w:type="dxa"/>
          </w:tcPr>
          <w:p w14:paraId="3C26F5C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5.6</w:t>
            </w:r>
          </w:p>
        </w:tc>
        <w:tc>
          <w:tcPr>
            <w:tcW w:w="663" w:type="dxa"/>
          </w:tcPr>
          <w:p w14:paraId="75178387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  <w:r>
              <w:rPr>
                <w:rFonts w:ascii="宋体" w:hAnsi="宋体" w:eastAsia="宋体"/>
                <w:sz w:val="18"/>
                <w:szCs w:val="18"/>
              </w:rPr>
              <w:t>9.6</w:t>
            </w:r>
          </w:p>
        </w:tc>
        <w:tc>
          <w:tcPr>
            <w:tcW w:w="663" w:type="dxa"/>
          </w:tcPr>
          <w:p w14:paraId="3D47D8A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1.7</w:t>
            </w:r>
          </w:p>
        </w:tc>
        <w:tc>
          <w:tcPr>
            <w:tcW w:w="606" w:type="dxa"/>
          </w:tcPr>
          <w:p w14:paraId="60A0FD5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.7</w:t>
            </w:r>
          </w:p>
        </w:tc>
      </w:tr>
    </w:tbl>
    <w:p w14:paraId="522C86A6">
      <w:pPr>
        <w:rPr>
          <w:rFonts w:ascii="宋体" w:hAnsi="宋体" w:eastAsia="宋体"/>
          <w:sz w:val="32"/>
          <w:szCs w:val="32"/>
        </w:rPr>
      </w:pPr>
    </w:p>
    <w:p w14:paraId="393CBE5E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场地径流量控制措施</w:t>
      </w:r>
    </w:p>
    <w:p w14:paraId="222394C8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透水铺装</w:t>
      </w:r>
    </w:p>
    <w:p w14:paraId="34C6B66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 w14:paraId="52325281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院</w:t>
      </w:r>
      <w:r>
        <w:rPr>
          <w:rFonts w:hint="eastAsia" w:ascii="宋体" w:hAnsi="宋体" w:eastAsia="宋体"/>
          <w:sz w:val="32"/>
          <w:szCs w:val="32"/>
        </w:rPr>
        <w:t>区内道路，停车场所、活动场等都采用透水铺装，透水铺装面积达到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3267</w:t>
      </w:r>
      <w:r>
        <w:rPr>
          <w:rFonts w:hint="eastAsia" w:ascii="宋体" w:hAnsi="宋体" w:eastAsia="宋体"/>
          <w:sz w:val="32"/>
          <w:szCs w:val="32"/>
        </w:rPr>
        <w:t>㎡，主要铺装材料为透水砖。</w:t>
      </w:r>
    </w:p>
    <w:p w14:paraId="210683A2">
      <w:pPr>
        <w:rPr>
          <w:rFonts w:hint="eastAsia" w:ascii="宋体" w:hAnsi="宋体" w:eastAsia="宋体"/>
          <w:sz w:val="32"/>
          <w:szCs w:val="32"/>
          <w:lang w:eastAsia="zh-CN"/>
        </w:rPr>
      </w:pPr>
    </w:p>
    <w:p w14:paraId="6552DD46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.2 </w:t>
      </w:r>
      <w:r>
        <w:rPr>
          <w:rFonts w:hint="eastAsia" w:ascii="宋体" w:hAnsi="宋体" w:eastAsia="宋体"/>
          <w:sz w:val="32"/>
          <w:szCs w:val="32"/>
        </w:rPr>
        <w:t>下凹式绿地及树池</w:t>
      </w:r>
    </w:p>
    <w:p w14:paraId="48A47C57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根据本项目的用地规划，本项目在各个活动场地分散设置了树池及花池。根据景观统计，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绿地</w:t>
      </w:r>
      <w:r>
        <w:rPr>
          <w:rFonts w:hint="eastAsia" w:ascii="宋体" w:hAnsi="宋体" w:eastAsia="宋体"/>
          <w:sz w:val="32"/>
          <w:szCs w:val="32"/>
        </w:rPr>
        <w:t>总面积为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10022</w:t>
      </w:r>
      <w:r>
        <w:rPr>
          <w:rFonts w:hint="eastAsia" w:ascii="宋体" w:hAnsi="宋体" w:eastAsia="宋体"/>
          <w:sz w:val="32"/>
          <w:szCs w:val="32"/>
        </w:rPr>
        <w:t>㎡，平均调蓄水深约为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cm-40cm</w:t>
      </w:r>
      <w:r>
        <w:rPr>
          <w:rFonts w:hint="eastAsia" w:ascii="宋体" w:hAnsi="宋体" w:eastAsia="宋体"/>
          <w:sz w:val="32"/>
          <w:szCs w:val="32"/>
        </w:rPr>
        <w:t>。场地径流量控制率按最低值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15</w:t>
      </w:r>
      <w:r>
        <w:rPr>
          <w:rFonts w:ascii="宋体" w:hAnsi="宋体" w:eastAsia="宋体"/>
          <w:sz w:val="32"/>
          <w:szCs w:val="32"/>
        </w:rPr>
        <w:t>cm</w:t>
      </w:r>
      <w:r>
        <w:rPr>
          <w:rFonts w:hint="eastAsia" w:ascii="宋体" w:hAnsi="宋体" w:eastAsia="宋体"/>
          <w:sz w:val="32"/>
          <w:szCs w:val="32"/>
        </w:rPr>
        <w:t>计算。</w:t>
      </w:r>
    </w:p>
    <w:p w14:paraId="543CEAD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522855" cy="1679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8190" cy="169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32"/>
          <w:szCs w:val="32"/>
        </w:rPr>
        <w:drawing>
          <wp:inline distT="0" distB="0" distL="0" distR="0">
            <wp:extent cx="2396490" cy="166179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7768" cy="16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4A6D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4场地径流量控制率计算</w:t>
      </w:r>
    </w:p>
    <w:p w14:paraId="4DAE2199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设计控制降雨量</w:t>
      </w:r>
    </w:p>
    <w:p w14:paraId="33AEC88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根据现行国家标准《绿色建筑评价标准》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D</w:t>
      </w:r>
      <w:r>
        <w:rPr>
          <w:rFonts w:ascii="宋体" w:hAnsi="宋体" w:eastAsia="宋体"/>
          <w:sz w:val="32"/>
          <w:szCs w:val="32"/>
        </w:rPr>
        <w:t>B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37</w:t>
      </w:r>
      <w:r>
        <w:rPr>
          <w:rFonts w:ascii="宋体" w:hAnsi="宋体" w:eastAsia="宋体"/>
          <w:sz w:val="32"/>
          <w:szCs w:val="32"/>
        </w:rPr>
        <w:t>/T-50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97</w:t>
      </w:r>
      <w:r>
        <w:rPr>
          <w:rFonts w:ascii="宋体" w:hAnsi="宋体" w:eastAsia="宋体"/>
          <w:sz w:val="32"/>
          <w:szCs w:val="32"/>
        </w:rPr>
        <w:t>-20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/>
          <w:sz w:val="32"/>
          <w:szCs w:val="32"/>
        </w:rPr>
        <w:t>，部分地区年径流量对应的设计控制雨量见表2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若达到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年径流量控制率，即设计控制雨量为</w:t>
      </w:r>
      <w:r>
        <w:rPr>
          <w:rFonts w:ascii="宋体" w:hAnsi="宋体" w:eastAsia="宋体"/>
          <w:sz w:val="32"/>
          <w:szCs w:val="32"/>
        </w:rPr>
        <w:t>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8.5</w:t>
      </w:r>
      <w:r>
        <w:rPr>
          <w:rFonts w:ascii="宋体" w:hAnsi="宋体" w:eastAsia="宋体"/>
          <w:sz w:val="32"/>
          <w:szCs w:val="32"/>
        </w:rPr>
        <w:t>mm</w:t>
      </w:r>
      <w:r>
        <w:rPr>
          <w:rFonts w:hint="eastAsia" w:ascii="宋体" w:hAnsi="宋体" w:eastAsia="宋体"/>
          <w:sz w:val="32"/>
          <w:szCs w:val="32"/>
        </w:rPr>
        <w:t>。场地内雨水径流面积为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28634</w:t>
      </w:r>
      <w:r>
        <w:rPr>
          <w:rFonts w:hint="eastAsia" w:ascii="宋体" w:hAnsi="宋体" w:eastAsia="宋体"/>
          <w:sz w:val="32"/>
          <w:szCs w:val="32"/>
        </w:rPr>
        <w:t>㎡</w:t>
      </w:r>
    </w:p>
    <w:p w14:paraId="6B44250D">
      <w:pPr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则建设项目场地内设计降雨量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控制</w:t>
      </w:r>
      <w:r>
        <w:rPr>
          <w:rFonts w:hint="eastAsia" w:ascii="宋体" w:hAnsi="宋体" w:eastAsia="宋体"/>
          <w:sz w:val="32"/>
          <w:szCs w:val="32"/>
        </w:rPr>
        <w:t>量为：</w:t>
      </w:r>
    </w:p>
    <w:p w14:paraId="3961E82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V</w:t>
      </w:r>
      <w:r>
        <w:rPr>
          <w:rFonts w:ascii="宋体" w:hAnsi="宋体" w:eastAsia="宋体"/>
          <w:sz w:val="32"/>
          <w:szCs w:val="32"/>
        </w:rPr>
        <w:t xml:space="preserve"> = 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8.5</w:t>
      </w:r>
      <w:r>
        <w:rPr>
          <w:rFonts w:ascii="宋体" w:hAnsi="宋体" w:eastAsia="宋体"/>
          <w:sz w:val="32"/>
          <w:szCs w:val="32"/>
        </w:rPr>
        <w:t>/1000 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28634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816.069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4E84A5A5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则降雨总量为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816.069</w:t>
      </w:r>
      <w:r>
        <w:rPr>
          <w:rFonts w:hint="eastAsia" w:ascii="宋体" w:hAnsi="宋体" w:eastAsia="宋体"/>
          <w:sz w:val="32"/>
          <w:szCs w:val="32"/>
        </w:rPr>
        <w:t>/</w:t>
      </w:r>
      <w:r>
        <w:rPr>
          <w:rFonts w:ascii="宋体" w:hAnsi="宋体" w:eastAsia="宋体"/>
          <w:sz w:val="32"/>
          <w:szCs w:val="32"/>
        </w:rPr>
        <w:t>0.7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31357.94</w:t>
      </w:r>
      <w:r>
        <w:rPr>
          <w:rFonts w:ascii="宋体" w:hAnsi="宋体" w:eastAsia="宋体"/>
          <w:sz w:val="32"/>
          <w:szCs w:val="32"/>
        </w:rPr>
        <w:t>m³</w:t>
      </w:r>
    </w:p>
    <w:p w14:paraId="6CFE550E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 w14:paraId="6B5FBEC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雨量径流系数及面积见小表：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3FC75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6A957A1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下垫面种类</w:t>
            </w:r>
          </w:p>
        </w:tc>
        <w:tc>
          <w:tcPr>
            <w:tcW w:w="2840" w:type="dxa"/>
          </w:tcPr>
          <w:p w14:paraId="2E2AD092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雨量径流系数</w:t>
            </w:r>
          </w:p>
        </w:tc>
        <w:tc>
          <w:tcPr>
            <w:tcW w:w="2840" w:type="dxa"/>
          </w:tcPr>
          <w:p w14:paraId="1B47F187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面积（</w:t>
            </w:r>
            <w:r>
              <w:rPr>
                <w:rFonts w:hint="eastAsia"/>
                <w:lang w:val="en-US" w:eastAsia="zh-CN"/>
              </w:rPr>
              <w:t>㎡）</w:t>
            </w:r>
          </w:p>
        </w:tc>
      </w:tr>
      <w:tr w14:paraId="64D02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F5952DB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硬屋面、未铺石子的平屋面</w:t>
            </w:r>
          </w:p>
        </w:tc>
        <w:tc>
          <w:tcPr>
            <w:tcW w:w="2840" w:type="dxa"/>
          </w:tcPr>
          <w:p w14:paraId="05955A2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0F50A40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5727</w:t>
            </w:r>
          </w:p>
        </w:tc>
      </w:tr>
      <w:tr w14:paraId="79F43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0CA638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绿化</w:t>
            </w:r>
          </w:p>
        </w:tc>
        <w:tc>
          <w:tcPr>
            <w:tcW w:w="2840" w:type="dxa"/>
          </w:tcPr>
          <w:p w14:paraId="2E5BC60D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0.15</w:t>
            </w:r>
          </w:p>
        </w:tc>
        <w:tc>
          <w:tcPr>
            <w:tcW w:w="2840" w:type="dxa"/>
          </w:tcPr>
          <w:p w14:paraId="2101C04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10022</w:t>
            </w:r>
          </w:p>
        </w:tc>
      </w:tr>
      <w:tr w14:paraId="67313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4DA78D6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透水铺装地面</w:t>
            </w:r>
          </w:p>
        </w:tc>
        <w:tc>
          <w:tcPr>
            <w:tcW w:w="2840" w:type="dxa"/>
          </w:tcPr>
          <w:p w14:paraId="28F5C0EF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0.34</w:t>
            </w:r>
          </w:p>
        </w:tc>
        <w:tc>
          <w:tcPr>
            <w:tcW w:w="2840" w:type="dxa"/>
          </w:tcPr>
          <w:p w14:paraId="3D226A39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3267</w:t>
            </w:r>
          </w:p>
        </w:tc>
      </w:tr>
      <w:tr w14:paraId="760E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467207E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不透水铺装</w:t>
            </w:r>
          </w:p>
        </w:tc>
        <w:tc>
          <w:tcPr>
            <w:tcW w:w="2840" w:type="dxa"/>
          </w:tcPr>
          <w:p w14:paraId="59C112D5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408191F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9618</w:t>
            </w:r>
          </w:p>
        </w:tc>
      </w:tr>
    </w:tbl>
    <w:p w14:paraId="58E96B2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场地综合径流系数：</w:t>
      </w:r>
    </w:p>
    <w:p w14:paraId="27731CEB">
      <w:pPr>
        <w:numPr>
          <w:ilvl w:val="0"/>
          <w:numId w:val="0"/>
        </w:numPr>
        <w:ind w:firstLine="600" w:firstLineChars="200"/>
        <w:rPr>
          <w:rFonts w:ascii="宋体" w:hAnsi="宋体"/>
          <w:position w:val="-46"/>
          <w:sz w:val="30"/>
          <w:szCs w:val="30"/>
        </w:rPr>
      </w:pPr>
      <w:r>
        <w:rPr>
          <w:rFonts w:ascii="宋体" w:hAnsi="宋体"/>
          <w:position w:val="-66"/>
          <w:sz w:val="30"/>
          <w:szCs w:val="30"/>
        </w:rPr>
        <w:object>
          <v:shape id="_x0000_i1026" o:spt="75" type="#_x0000_t75" style="height:72pt;width:363.1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3" ShapeID="_x0000_i1026" DrawAspect="Content" ObjectID="_1468075725" r:id="rId7">
            <o:LockedField>false</o:LockedField>
          </o:OLEObject>
        </w:object>
      </w:r>
    </w:p>
    <w:p w14:paraId="0F140BE6">
      <w:pPr>
        <w:numPr>
          <w:ilvl w:val="0"/>
          <w:numId w:val="0"/>
        </w:num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则场地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径流总量</w:t>
      </w:r>
      <w:r>
        <w:rPr>
          <w:rFonts w:hint="eastAsia" w:ascii="宋体" w:hAnsi="宋体" w:eastAsia="宋体"/>
          <w:sz w:val="32"/>
          <w:szCs w:val="32"/>
        </w:rPr>
        <w:t>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ZCh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10*</w:t>
      </w:r>
      <w:r>
        <w:rPr>
          <w:rFonts w:ascii="宋体" w:hAnsi="宋体" w:eastAsia="宋体"/>
          <w:sz w:val="32"/>
          <w:szCs w:val="32"/>
        </w:rPr>
        <w:t>0.</w:t>
      </w: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</w:t>
      </w:r>
      <w:r>
        <w:rPr>
          <w:rFonts w:ascii="宋体" w:hAnsi="宋体" w:eastAsia="宋体"/>
          <w:sz w:val="32"/>
          <w:szCs w:val="32"/>
        </w:rPr>
        <w:t>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28.5*2.86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145.64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0C5C3C8D">
      <w:pPr>
        <w:jc w:val="left"/>
        <w:rPr>
          <w:rFonts w:hint="default" w:ascii="宋体" w:hAnsi="宋体" w:eastAsia="宋体"/>
          <w:sz w:val="32"/>
          <w:szCs w:val="32"/>
          <w:lang w:val="en-US" w:eastAsia="zh-CN"/>
        </w:rPr>
      </w:pPr>
    </w:p>
    <w:p w14:paraId="505CC181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场地内设有200m³的蓄水模块，对应的控制率能满足75.01%，大于规划指标要求的75%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24F78D32">
      <w:pPr>
        <w:jc w:val="left"/>
        <w:rPr>
          <w:rFonts w:ascii="宋体" w:hAnsi="宋体" w:eastAsia="宋体"/>
          <w:sz w:val="32"/>
          <w:szCs w:val="32"/>
        </w:rPr>
      </w:pPr>
    </w:p>
    <w:p w14:paraId="0AA9E3C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总结</w:t>
      </w:r>
    </w:p>
    <w:p w14:paraId="1984A2F6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故场地年径流量控制率大于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的要求。</w:t>
      </w:r>
    </w:p>
    <w:p w14:paraId="0A2CD85F">
      <w:pPr>
        <w:jc w:val="left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FjMGFiM2ZiMDU1ODBlZDBlZjc0MGExZDkyZmUwYTMifQ=="/>
  </w:docVars>
  <w:rsids>
    <w:rsidRoot w:val="00AF6554"/>
    <w:rsid w:val="00033A21"/>
    <w:rsid w:val="00061986"/>
    <w:rsid w:val="00075D9D"/>
    <w:rsid w:val="000A72A1"/>
    <w:rsid w:val="000F38B1"/>
    <w:rsid w:val="00133F19"/>
    <w:rsid w:val="0015788E"/>
    <w:rsid w:val="001D3E85"/>
    <w:rsid w:val="002221FD"/>
    <w:rsid w:val="00267D4A"/>
    <w:rsid w:val="00270C68"/>
    <w:rsid w:val="00296F3C"/>
    <w:rsid w:val="00300B25"/>
    <w:rsid w:val="00353437"/>
    <w:rsid w:val="003664EE"/>
    <w:rsid w:val="003819F1"/>
    <w:rsid w:val="0038580D"/>
    <w:rsid w:val="00395942"/>
    <w:rsid w:val="004416EE"/>
    <w:rsid w:val="00465110"/>
    <w:rsid w:val="004B38E8"/>
    <w:rsid w:val="004C1949"/>
    <w:rsid w:val="00553E0A"/>
    <w:rsid w:val="00596BB9"/>
    <w:rsid w:val="005D326B"/>
    <w:rsid w:val="005D6D5F"/>
    <w:rsid w:val="005E2D8E"/>
    <w:rsid w:val="00603965"/>
    <w:rsid w:val="00614976"/>
    <w:rsid w:val="00660752"/>
    <w:rsid w:val="00676C44"/>
    <w:rsid w:val="006873CE"/>
    <w:rsid w:val="006D2892"/>
    <w:rsid w:val="00706856"/>
    <w:rsid w:val="00762A36"/>
    <w:rsid w:val="00781788"/>
    <w:rsid w:val="007B3BD9"/>
    <w:rsid w:val="00820AE6"/>
    <w:rsid w:val="008326D4"/>
    <w:rsid w:val="008C0CD4"/>
    <w:rsid w:val="00937A86"/>
    <w:rsid w:val="00977245"/>
    <w:rsid w:val="009F51FC"/>
    <w:rsid w:val="00A0368D"/>
    <w:rsid w:val="00A65843"/>
    <w:rsid w:val="00AF6554"/>
    <w:rsid w:val="00B901E0"/>
    <w:rsid w:val="00B9324C"/>
    <w:rsid w:val="00BA1D8F"/>
    <w:rsid w:val="00D17977"/>
    <w:rsid w:val="00D64E98"/>
    <w:rsid w:val="00D73A5D"/>
    <w:rsid w:val="00D9152E"/>
    <w:rsid w:val="00DB08BC"/>
    <w:rsid w:val="00DC2C25"/>
    <w:rsid w:val="00DC4828"/>
    <w:rsid w:val="00E67977"/>
    <w:rsid w:val="00E96682"/>
    <w:rsid w:val="00EC1FD9"/>
    <w:rsid w:val="00EF7ED5"/>
    <w:rsid w:val="00F30EAF"/>
    <w:rsid w:val="00F54FF1"/>
    <w:rsid w:val="00F677C3"/>
    <w:rsid w:val="00FE0FA7"/>
    <w:rsid w:val="00FF0DC0"/>
    <w:rsid w:val="05D81D9F"/>
    <w:rsid w:val="06846D7A"/>
    <w:rsid w:val="085B3B1D"/>
    <w:rsid w:val="0D3E301C"/>
    <w:rsid w:val="15B11221"/>
    <w:rsid w:val="19243790"/>
    <w:rsid w:val="19F03294"/>
    <w:rsid w:val="1AA5619E"/>
    <w:rsid w:val="1DB9575A"/>
    <w:rsid w:val="21BA49F9"/>
    <w:rsid w:val="21FA7AAB"/>
    <w:rsid w:val="220D3C83"/>
    <w:rsid w:val="22D35F39"/>
    <w:rsid w:val="256503D5"/>
    <w:rsid w:val="28AA3FD9"/>
    <w:rsid w:val="2ABC60DD"/>
    <w:rsid w:val="2E2652C2"/>
    <w:rsid w:val="3154222C"/>
    <w:rsid w:val="349E42F6"/>
    <w:rsid w:val="357A353D"/>
    <w:rsid w:val="37343573"/>
    <w:rsid w:val="3E092AB7"/>
    <w:rsid w:val="3F556752"/>
    <w:rsid w:val="4AE758C3"/>
    <w:rsid w:val="4E2116E9"/>
    <w:rsid w:val="50180116"/>
    <w:rsid w:val="506F328F"/>
    <w:rsid w:val="52CB1C69"/>
    <w:rsid w:val="59284923"/>
    <w:rsid w:val="5C4C7EFF"/>
    <w:rsid w:val="60D158A0"/>
    <w:rsid w:val="6118527D"/>
    <w:rsid w:val="61FA1B3D"/>
    <w:rsid w:val="683D4822"/>
    <w:rsid w:val="684418A9"/>
    <w:rsid w:val="71670CF0"/>
    <w:rsid w:val="73C650E2"/>
    <w:rsid w:val="753E17C8"/>
    <w:rsid w:val="7B2D6100"/>
    <w:rsid w:val="7F996E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w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717</Words>
  <Characters>960</Characters>
  <Lines>13</Lines>
  <Paragraphs>3</Paragraphs>
  <TotalTime>16</TotalTime>
  <ScaleCrop>false</ScaleCrop>
  <LinksUpToDate>false</LinksUpToDate>
  <CharactersWithSpaces>972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2017-12-19T10:43:00Z</dcterms:created>
  <dc:creator>pc</dc:creator>
  <cp:lastModifiedBy>:D</cp:lastModifiedBy>
  <dcterms:modified xsi:type="dcterms:W3CDTF">2025-09-03T04:59:04Z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7FE77051ED2D499EA840DCC10949BB53_12</vt:lpwstr>
  </property>
  <property fmtid="{D5CDD505-2E9C-101B-9397-08002B2CF9AE}" pid="4" name="KSOTemplateDocerSaveRecord">
    <vt:lpwstr>eyJoZGlkIjoiZmFjMGFiM2ZiMDU1ODBlZDBlZjc0MGExZDkyZmUwYTMiLCJ1c2VySWQiOiIxMzMzNDkxNzQ1In0=</vt:lpwstr>
  </property>
</Properties>
</file>