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21B0F7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5BF2D3B4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7DB41BB">
      <w:pPr>
        <w:spacing w:before="5"/>
        <w:rPr>
          <w:rFonts w:ascii="Times New Roman" w:hAnsi="Times New Roman" w:eastAsia="Times New Roman" w:cs="Times New Roman"/>
          <w:sz w:val="13"/>
          <w:szCs w:val="13"/>
        </w:rPr>
      </w:pPr>
    </w:p>
    <w:p w14:paraId="3304A942">
      <w:pPr>
        <w:spacing w:line="200" w:lineRule="atLeast"/>
        <w:ind w:left="1114"/>
        <w:rPr>
          <w:rFonts w:ascii="Times New Roman" w:hAnsi="Times New Roman" w:eastAsia="Times New Roman" w:cs="Times New Roman"/>
          <w:sz w:val="20"/>
          <w:szCs w:val="20"/>
        </w:rPr>
      </w:pPr>
    </w:p>
    <w:p w14:paraId="1A0D6E9F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6F7C1259">
      <w:pPr>
        <w:rPr>
          <w:rFonts w:ascii="Times New Roman" w:hAnsi="Times New Roman" w:eastAsia="Times New Roman" w:cs="Times New Roman"/>
          <w:sz w:val="20"/>
          <w:szCs w:val="20"/>
        </w:rPr>
      </w:pPr>
    </w:p>
    <w:p w14:paraId="4E0508E0">
      <w:pPr>
        <w:spacing w:before="3"/>
        <w:rPr>
          <w:rFonts w:ascii="Times New Roman" w:hAnsi="Times New Roman" w:eastAsia="Times New Roman" w:cs="Times New Roman"/>
          <w:sz w:val="26"/>
          <w:szCs w:val="26"/>
        </w:rPr>
      </w:pPr>
    </w:p>
    <w:p w14:paraId="314861AD">
      <w:pPr>
        <w:spacing w:before="107"/>
        <w:ind w:left="1858"/>
        <w:rPr>
          <w:rFonts w:ascii="微软雅黑" w:hAnsi="微软雅黑" w:eastAsia="微软雅黑" w:cs="微软雅黑"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t>公共交通设施布局说明</w:t>
      </w:r>
    </w:p>
    <w:p w14:paraId="3238A511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7CB9F6FE">
      <w:pP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</w:pPr>
    </w:p>
    <w:p w14:paraId="2D7E6AF4">
      <w:pP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</w:pPr>
      <w:r>
        <w:rPr>
          <w:rFonts w:ascii="微软雅黑" w:hAnsi="微软雅黑" w:eastAsia="微软雅黑" w:cs="微软雅黑"/>
          <w:b/>
          <w:bCs/>
          <w:sz w:val="48"/>
          <w:szCs w:val="48"/>
          <w:lang w:eastAsia="zh-CN"/>
        </w:rPr>
        <w:br w:type="page"/>
      </w:r>
    </w:p>
    <w:p w14:paraId="0C155DB5">
      <w:pPr>
        <w:rPr>
          <w:rFonts w:ascii="宋体" w:hAnsi="宋体" w:eastAsia="宋体" w:cs="宋体"/>
          <w:b/>
          <w:bCs/>
          <w:sz w:val="36"/>
          <w:szCs w:val="36"/>
          <w:lang w:eastAsia="zh-CN"/>
        </w:rPr>
      </w:pPr>
    </w:p>
    <w:p w14:paraId="39987030">
      <w:pPr>
        <w:pStyle w:val="4"/>
        <w:ind w:left="338"/>
        <w:rPr>
          <w:rFonts w:hint="eastAsia"/>
          <w:u w:val="single"/>
          <w:lang w:eastAsia="zh-CN"/>
        </w:rPr>
      </w:pPr>
      <w:r>
        <w:rPr>
          <w:rFonts w:hint="eastAsia"/>
          <w:lang w:eastAsia="zh-CN"/>
        </w:rPr>
        <w:t>项目名称：</w:t>
      </w:r>
      <w:r>
        <w:rPr>
          <w:u w:val="single"/>
          <w:lang w:eastAsia="zh-CN"/>
        </w:rPr>
        <w:t xml:space="preserve"> </w:t>
      </w:r>
      <w:r>
        <w:rPr>
          <w:rFonts w:hint="eastAsia"/>
          <w:u w:val="single"/>
          <w:lang w:val="en-US" w:eastAsia="zh-CN"/>
        </w:rPr>
        <w:t>济南新旧动能转换起步区褚家村、崔寨村等城中村改造项目F-1地块</w:t>
      </w:r>
      <w:r>
        <w:rPr>
          <w:u w:val="single"/>
          <w:lang w:eastAsia="zh-CN"/>
        </w:rPr>
        <w:t xml:space="preserve">                              </w:t>
      </w:r>
    </w:p>
    <w:p w14:paraId="4BFA1ACA">
      <w:pPr>
        <w:pStyle w:val="4"/>
        <w:ind w:left="338"/>
        <w:rPr>
          <w:rFonts w:hint="eastAsia"/>
          <w:lang w:eastAsia="zh-CN"/>
        </w:rPr>
      </w:pPr>
      <w:r>
        <w:rPr>
          <w:rFonts w:hint="eastAsia"/>
          <w:lang w:eastAsia="zh-CN"/>
        </w:rPr>
        <w:t>对标</w:t>
      </w:r>
      <w:r>
        <w:rPr>
          <w:lang w:eastAsia="zh-CN"/>
        </w:rPr>
        <w:t>条文：</w:t>
      </w:r>
    </w:p>
    <w:p w14:paraId="210D15BC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6.1.2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场地人行出入口500m内应设有公共交通站点或配备联系公共交通站点的专用接驳车。</w:t>
      </w:r>
    </w:p>
    <w:p w14:paraId="047AE36A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6.2.1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场地与公共交通站点联系便捷，评价总分值为8分，并按下列规则分别评分并累计：</w:t>
      </w:r>
    </w:p>
    <w:p w14:paraId="2426E9E4">
      <w:pPr>
        <w:ind w:left="1440" w:firstLine="105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场地出入口到达公共交通站点的步行距离不超过500m，或到达轨道交通站的步行距离不大于800m，得2分；场地出入口到达公共交通站点的步行距离不超过300m，或到达轨道交通站的步行距离不大于500m，得4分；</w:t>
      </w:r>
    </w:p>
    <w:p w14:paraId="1FE2A86F">
      <w:pPr>
        <w:ind w:left="144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场地出入口步行距离800m范围内设有不少于2条线路的公共交通站点，得4分。</w:t>
      </w:r>
    </w:p>
    <w:p w14:paraId="780EC91C">
      <w:pPr>
        <w:ind w:left="720" w:firstLine="72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>6.2.3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提供便利的公共服务，评价总分值为10分，并按下列规则评分：</w:t>
      </w:r>
    </w:p>
    <w:p w14:paraId="28C20C2F">
      <w:pPr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1   住宅建筑，满足下列要求中4项，得5分；满足6项及以上，得10分。</w:t>
      </w:r>
    </w:p>
    <w:p w14:paraId="4933492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1)   场地出入口到达幼儿园的步行距离不大于300m；</w:t>
      </w:r>
    </w:p>
    <w:p w14:paraId="551DC8E1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2)   场地出入口到达小学的步行距离不大于500m；</w:t>
      </w:r>
    </w:p>
    <w:p w14:paraId="51A4C2AC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3)   场地出入口到达中学的步行距离不大于1000m；</w:t>
      </w:r>
    </w:p>
    <w:p w14:paraId="11A1EA12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4)   场地出入口到达医院的步行距离不大于1000m；</w:t>
      </w:r>
    </w:p>
    <w:p w14:paraId="404B3DC6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5)   场地出入口到达群众文化活动设施的步行距离不大于800m；</w:t>
      </w:r>
    </w:p>
    <w:p w14:paraId="1BB26FC8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6)   场地出入口到达老年人日间照料设施的步行距离不大于500m；</w:t>
      </w:r>
    </w:p>
    <w:p w14:paraId="5FFC35CD">
      <w:pPr>
        <w:ind w:left="1760" w:leftChars="80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7)   场地周边500m范围内具有不少于3种商业服务设施。</w:t>
      </w:r>
    </w:p>
    <w:p w14:paraId="15AF5F24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 xml:space="preserve">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公共建筑满足下列要求中的3项，得5分；满足5项，得10分。</w:t>
      </w:r>
    </w:p>
    <w:p w14:paraId="6BC55A8E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1)   建筑内至少兼容2种面向社会的公共服务功能；</w:t>
      </w:r>
    </w:p>
    <w:p w14:paraId="16A97E29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2)   建筑向社会公众提供开放的公共活动空间；</w:t>
      </w:r>
    </w:p>
    <w:p w14:paraId="2B64132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3)   电动汽车充电桩的车位数占总车位数的比例不低于10%;</w:t>
      </w:r>
    </w:p>
    <w:p w14:paraId="400C175B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4)   周边500m 范围内设有社会公共停车场（库）；</w:t>
      </w:r>
    </w:p>
    <w:p w14:paraId="38FD4194">
      <w:pPr>
        <w:ind w:left="660" w:leftChars="300"/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     5)   场地不封闭或场地内步行公共通道向社会开放。</w:t>
      </w:r>
    </w:p>
    <w:p w14:paraId="154AAEB7">
      <w:pPr>
        <w:ind w:left="138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/>
          <w:bCs/>
          <w:sz w:val="20"/>
          <w:szCs w:val="20"/>
          <w:lang w:eastAsia="zh-CN"/>
        </w:rPr>
        <w:t xml:space="preserve">6.2.4 </w:t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城市绿地、广场及公共运动场地等开敞空间，步行可达，评价总分值为5分，并按下列规则分别评分并累计：</w:t>
      </w:r>
    </w:p>
    <w:p w14:paraId="6FDEC730">
      <w:pPr>
        <w:ind w:left="1440"/>
        <w:rPr>
          <w:rFonts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1   场地出入口到达居住区公园或城市公园绿地、广场的步行距离不大于300m，得3分；</w:t>
      </w:r>
    </w:p>
    <w:p w14:paraId="0998F408">
      <w:pPr>
        <w:rPr>
          <w:rFonts w:hint="eastAsia" w:ascii="宋体" w:hAnsi="宋体" w:eastAsia="宋体" w:cs="宋体"/>
          <w:bCs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 xml:space="preserve">     </w:t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ascii="宋体" w:hAnsi="宋体" w:eastAsia="宋体" w:cs="宋体"/>
          <w:bCs/>
          <w:sz w:val="20"/>
          <w:szCs w:val="20"/>
          <w:lang w:eastAsia="zh-CN"/>
        </w:rPr>
        <w:tab/>
      </w:r>
      <w:r>
        <w:rPr>
          <w:rFonts w:hint="eastAsia" w:ascii="宋体" w:hAnsi="宋体" w:eastAsia="宋体" w:cs="宋体"/>
          <w:bCs/>
          <w:sz w:val="20"/>
          <w:szCs w:val="20"/>
          <w:lang w:eastAsia="zh-CN"/>
        </w:rPr>
        <w:t>2   到达中型多功能运动场地的步行距离不大于500m，得2分。</w:t>
      </w:r>
    </w:p>
    <w:p w14:paraId="3C54041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bookmarkStart w:id="0" w:name="_GoBack"/>
      <w:bookmarkEnd w:id="0"/>
    </w:p>
    <w:p w14:paraId="5A657BB8">
      <w:pPr>
        <w:pStyle w:val="4"/>
        <w:ind w:left="338"/>
        <w:rPr>
          <w:b w:val="0"/>
          <w:bCs w:val="0"/>
          <w:lang w:eastAsia="zh-CN"/>
        </w:rPr>
      </w:pPr>
      <w:r>
        <w:rPr>
          <w:lang w:eastAsia="zh-CN"/>
        </w:rPr>
        <w:t>工程概况：</w:t>
      </w:r>
    </w:p>
    <w:p w14:paraId="1AE7B457">
      <w:pPr>
        <w:spacing w:before="8"/>
        <w:rPr>
          <w:rFonts w:ascii="宋体" w:hAnsi="宋体" w:eastAsia="宋体" w:cs="宋体"/>
          <w:b/>
          <w:bCs/>
          <w:sz w:val="17"/>
          <w:szCs w:val="17"/>
          <w:lang w:eastAsia="zh-CN"/>
        </w:rPr>
      </w:pPr>
    </w:p>
    <w:p w14:paraId="16CD8B8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  <w:r>
        <w:rPr>
          <w:spacing w:val="0"/>
          <w:w w:val="100"/>
          <w:sz w:val="24"/>
          <w:lang w:eastAsia="zh-CN"/>
        </w:rPr>
        <w:t>项目位于</w:t>
      </w:r>
      <w:r>
        <w:rPr>
          <w:rFonts w:hint="eastAsia"/>
          <w:spacing w:val="0"/>
          <w:w w:val="100"/>
          <w:sz w:val="24"/>
          <w:u w:val="single"/>
          <w:lang w:eastAsia="zh-CN"/>
        </w:rPr>
        <w:t xml:space="preserve"> 济南新旧动能转换起步区崔寨片区，北邻北边界路，东临西环路，西临解营路</w:t>
      </w:r>
      <w:r>
        <w:rPr>
          <w:spacing w:val="0"/>
          <w:w w:val="100"/>
          <w:sz w:val="24"/>
          <w:u w:val="single"/>
          <w:lang w:eastAsia="zh-CN"/>
        </w:rPr>
        <w:t xml:space="preserve"> </w:t>
      </w:r>
      <w:r>
        <w:rPr>
          <w:spacing w:val="0"/>
          <w:w w:val="100"/>
          <w:sz w:val="24"/>
          <w:lang w:eastAsia="zh-CN"/>
        </w:rPr>
        <w:t>。该项目总用地面积为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28634</w:t>
      </w:r>
      <w:r>
        <w:rPr>
          <w:spacing w:val="0"/>
          <w:w w:val="100"/>
          <w:sz w:val="24"/>
          <w:lang w:eastAsia="zh-CN"/>
        </w:rPr>
        <w:t>平方米，建筑面积为</w:t>
      </w:r>
      <w:r>
        <w:rPr>
          <w:rFonts w:hint="eastAsia" w:asciiTheme="minorHAnsi" w:hAnsiTheme="minorHAnsi" w:eastAsiaTheme="minorEastAsia" w:cstheme="minorBidi"/>
          <w:u w:val="single"/>
          <w:lang w:val="en-US" w:eastAsia="zh-CN"/>
        </w:rPr>
        <w:t>97857.65</w:t>
      </w:r>
      <w:r>
        <w:rPr>
          <w:spacing w:val="0"/>
          <w:w w:val="100"/>
          <w:sz w:val="24"/>
          <w:lang w:eastAsia="zh-CN"/>
        </w:rPr>
        <w:t>平方米，总户数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608</w:t>
      </w:r>
      <w:r>
        <w:rPr>
          <w:spacing w:val="0"/>
          <w:w w:val="100"/>
          <w:sz w:val="24"/>
          <w:lang w:eastAsia="zh-CN"/>
        </w:rPr>
        <w:t>，总人数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1055人</w:t>
      </w:r>
      <w:r>
        <w:rPr>
          <w:spacing w:val="0"/>
          <w:w w:val="100"/>
          <w:sz w:val="24"/>
          <w:lang w:eastAsia="zh-CN"/>
        </w:rPr>
        <w:t>。地上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/>
          <w:lang w:val="en-US" w:eastAsia="zh-CN"/>
        </w:rPr>
        <w:t>18</w:t>
      </w:r>
      <w:r>
        <w:rPr>
          <w:spacing w:val="0"/>
          <w:w w:val="100"/>
          <w:sz w:val="24"/>
          <w:lang w:eastAsia="zh-CN"/>
        </w:rPr>
        <w:t>层，地上面积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 w:color="000000"/>
          <w:lang w:val="en-US" w:eastAsia="zh-CN"/>
        </w:rPr>
        <w:t>67523.17</w:t>
      </w:r>
      <w:r>
        <w:rPr>
          <w:rFonts w:cs="宋体"/>
          <w:spacing w:val="0"/>
          <w:w w:val="100"/>
          <w:sz w:val="24"/>
          <w:lang w:eastAsia="zh-CN"/>
        </w:rPr>
        <w:t>平米，地下面积</w:t>
      </w:r>
      <w:r>
        <w:rPr>
          <w:rFonts w:hint="eastAsia" w:ascii="Calibri" w:hAnsi="Calibri" w:eastAsia="Calibri" w:cs="Calibri"/>
          <w:spacing w:val="0"/>
          <w:w w:val="100"/>
          <w:sz w:val="24"/>
          <w:u w:val="single"/>
          <w:lang w:val="en-US" w:eastAsia="zh-CN"/>
        </w:rPr>
        <w:t>30334.48</w:t>
      </w:r>
      <w:r>
        <w:rPr>
          <w:rFonts w:cs="宋体"/>
          <w:spacing w:val="0"/>
          <w:w w:val="100"/>
          <w:sz w:val="24"/>
          <w:lang w:eastAsia="zh-CN"/>
        </w:rPr>
        <w:t>平米。</w:t>
      </w:r>
    </w:p>
    <w:p w14:paraId="32F84D13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320D7F49">
      <w:pPr>
        <w:pStyle w:val="5"/>
        <w:tabs>
          <w:tab w:val="left" w:pos="1307"/>
          <w:tab w:val="left" w:pos="3703"/>
        </w:tabs>
        <w:spacing w:line="277" w:lineRule="auto"/>
        <w:ind w:left="338" w:right="327" w:firstLine="479"/>
        <w:rPr>
          <w:rFonts w:cs="宋体"/>
          <w:spacing w:val="22"/>
          <w:lang w:eastAsia="zh-CN"/>
        </w:rPr>
      </w:pPr>
    </w:p>
    <w:p w14:paraId="7979F32E">
      <w:pPr>
        <w:rPr>
          <w:rFonts w:hint="eastAsia" w:ascii="宋体" w:hAnsi="宋体" w:eastAsia="宋体" w:cs="宋体"/>
          <w:spacing w:val="22"/>
          <w:sz w:val="24"/>
          <w:szCs w:val="24"/>
          <w:lang w:eastAsia="zh-CN"/>
        </w:rPr>
      </w:pPr>
      <w:r>
        <w:rPr>
          <w:rFonts w:cs="宋体"/>
          <w:spacing w:val="22"/>
          <w:lang w:eastAsia="zh-CN"/>
        </w:rPr>
        <w:br w:type="page"/>
      </w:r>
    </w:p>
    <w:p w14:paraId="192AF1F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</w:p>
    <w:p w14:paraId="159755C3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公共交通站点距离：</w:t>
      </w:r>
    </w:p>
    <w:p w14:paraId="31670164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val="en-US"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站点1：</w:t>
      </w:r>
      <w:r>
        <w:rPr>
          <w:rFonts w:hint="eastAsia" w:cs="宋体"/>
          <w:b/>
          <w:bCs/>
          <w:u w:val="single"/>
          <w:lang w:val="en-US" w:eastAsia="zh-CN"/>
        </w:rPr>
        <w:t xml:space="preserve"> 1.2 </w:t>
      </w:r>
      <w:r>
        <w:rPr>
          <w:rFonts w:hint="eastAsia" w:cs="宋体"/>
          <w:bCs/>
          <w:u w:val="single"/>
          <w:lang w:val="en-US" w:eastAsia="zh-CN"/>
        </w:rPr>
        <w:t>公里</w:t>
      </w:r>
    </w:p>
    <w:p w14:paraId="4B62D14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2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hint="eastAsia" w:cs="宋体"/>
          <w:b/>
          <w:bCs/>
          <w:u w:val="single"/>
          <w:lang w:val="en-US" w:eastAsia="zh-CN"/>
        </w:rPr>
        <w:t xml:space="preserve"> 1.1 </w:t>
      </w:r>
      <w:r>
        <w:rPr>
          <w:rFonts w:hint="eastAsia" w:cs="宋体"/>
          <w:bCs/>
          <w:u w:val="single"/>
          <w:lang w:val="en-US" w:eastAsia="zh-CN"/>
        </w:rPr>
        <w:t>公里</w:t>
      </w:r>
    </w:p>
    <w:p w14:paraId="50F9CA79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3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hint="eastAsia" w:cs="宋体"/>
          <w:b/>
          <w:bCs/>
          <w:u w:val="single"/>
          <w:lang w:val="en-US" w:eastAsia="zh-CN"/>
        </w:rPr>
        <w:t xml:space="preserve"> 0.82 </w:t>
      </w:r>
      <w:r>
        <w:rPr>
          <w:rFonts w:hint="eastAsia" w:cs="宋体"/>
          <w:bCs/>
          <w:u w:val="single"/>
          <w:lang w:val="en-US" w:eastAsia="zh-CN"/>
        </w:rPr>
        <w:t>公里</w:t>
      </w:r>
    </w:p>
    <w:p w14:paraId="75AF6B2F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4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hint="eastAsia" w:cs="宋体"/>
          <w:b/>
          <w:bCs/>
          <w:u w:val="single"/>
          <w:lang w:val="en-US" w:eastAsia="zh-CN"/>
        </w:rPr>
        <w:t xml:space="preserve"> 0.66 </w:t>
      </w:r>
      <w:r>
        <w:rPr>
          <w:rFonts w:hint="eastAsia" w:cs="宋体"/>
          <w:bCs/>
          <w:u w:val="single"/>
          <w:lang w:val="en-US" w:eastAsia="zh-CN"/>
        </w:rPr>
        <w:t>公里</w:t>
      </w:r>
    </w:p>
    <w:p w14:paraId="46BA60E2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站点</w:t>
      </w:r>
      <w:r>
        <w:rPr>
          <w:rFonts w:hint="eastAsia" w:cs="宋体"/>
          <w:b/>
          <w:bCs/>
          <w:lang w:val="en-US" w:eastAsia="zh-CN"/>
        </w:rPr>
        <w:t>5</w:t>
      </w:r>
      <w:r>
        <w:rPr>
          <w:rFonts w:hint="eastAsia" w:cs="宋体"/>
          <w:b/>
          <w:bCs/>
          <w:lang w:eastAsia="zh-CN"/>
        </w:rPr>
        <w:t>：</w:t>
      </w:r>
      <w:r>
        <w:rPr>
          <w:rFonts w:hint="eastAsia" w:cs="宋体"/>
          <w:b/>
          <w:bCs/>
          <w:u w:val="single"/>
          <w:lang w:val="en-US" w:eastAsia="zh-CN"/>
        </w:rPr>
        <w:t xml:space="preserve"> 0.90 </w:t>
      </w:r>
      <w:r>
        <w:rPr>
          <w:rFonts w:hint="eastAsia" w:cs="宋体"/>
          <w:bCs/>
          <w:u w:val="single"/>
          <w:lang w:val="en-US" w:eastAsia="zh-CN"/>
        </w:rPr>
        <w:t>公里</w:t>
      </w:r>
    </w:p>
    <w:p w14:paraId="23FB747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val="en-US" w:eastAsia="zh-CN"/>
        </w:rPr>
      </w:pPr>
    </w:p>
    <w:p w14:paraId="1CF4D57A">
      <w:pPr>
        <w:spacing w:before="9"/>
        <w:rPr>
          <w:rFonts w:hint="eastAsia" w:ascii="Calibri" w:hAnsi="Calibri" w:cs="Calibri"/>
          <w:sz w:val="25"/>
          <w:szCs w:val="25"/>
          <w:lang w:eastAsia="zh-CN"/>
        </w:rPr>
      </w:pPr>
    </w:p>
    <w:p w14:paraId="3DAF05CD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公交站点说明：</w:t>
      </w:r>
    </w:p>
    <w:p w14:paraId="6D5D042F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站点1包含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652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路;K901路;K905路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36CB7765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2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547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023C55BC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3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547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6014A5A9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4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547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3626269F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  <w:r>
        <w:rPr>
          <w:w w:val="95"/>
          <w:lang w:eastAsia="zh-CN"/>
        </w:rPr>
        <w:tab/>
      </w:r>
      <w:r>
        <w:rPr>
          <w:rFonts w:hint="eastAsia"/>
          <w:w w:val="95"/>
          <w:lang w:eastAsia="zh-CN"/>
        </w:rPr>
        <w:t>站点</w:t>
      </w:r>
      <w:r>
        <w:rPr>
          <w:rFonts w:hint="eastAsia"/>
          <w:w w:val="95"/>
          <w:lang w:val="en-US" w:eastAsia="zh-CN"/>
        </w:rPr>
        <w:t>5</w:t>
      </w:r>
      <w:r>
        <w:rPr>
          <w:rFonts w:hint="eastAsia"/>
          <w:w w:val="95"/>
          <w:lang w:eastAsia="zh-CN"/>
        </w:rPr>
        <w:t>包含</w:t>
      </w:r>
      <w:r>
        <w:rPr>
          <w:w w:val="95"/>
          <w:lang w:eastAsia="zh-CN"/>
        </w:rPr>
        <w:t>公家线路</w:t>
      </w:r>
      <w:r>
        <w:rPr>
          <w:bCs/>
          <w:w w:val="100"/>
          <w:sz w:val="24"/>
          <w:lang w:eastAsia="zh-CN"/>
        </w:rPr>
        <w:t>：</w:t>
      </w:r>
      <w:r>
        <w:rPr>
          <w:rFonts w:hint="eastAsia"/>
          <w:bCs/>
          <w:w w:val="100"/>
          <w:sz w:val="24"/>
          <w:u w:val="single"/>
          <w:lang w:eastAsia="zh-CN"/>
        </w:rPr>
        <w:t xml:space="preserve"> </w:t>
      </w:r>
      <w:r>
        <w:rPr>
          <w:rFonts w:hint="eastAsia"/>
          <w:b w:val="0"/>
          <w:bCs/>
          <w:w w:val="100"/>
          <w:sz w:val="24"/>
          <w:u w:val="single"/>
          <w:lang w:val="en-US" w:eastAsia="zh-CN"/>
        </w:rPr>
        <w:t>652</w:t>
      </w:r>
      <w:r>
        <w:rPr>
          <w:rFonts w:hint="eastAsia"/>
          <w:b w:val="0"/>
          <w:bCs/>
          <w:w w:val="100"/>
          <w:sz w:val="24"/>
          <w:u w:val="single"/>
          <w:lang w:eastAsia="zh-CN"/>
        </w:rPr>
        <w:t>路;</w:t>
      </w:r>
      <w:r>
        <w:rPr>
          <w:b w:val="0"/>
          <w:bCs/>
          <w:w w:val="100"/>
          <w:sz w:val="24"/>
          <w:u w:val="single"/>
          <w:lang w:eastAsia="zh-CN"/>
        </w:rPr>
        <w:t xml:space="preserve">          </w:t>
      </w:r>
    </w:p>
    <w:p w14:paraId="3273059E">
      <w:pPr>
        <w:pStyle w:val="4"/>
        <w:spacing w:before="0"/>
        <w:rPr>
          <w:b w:val="0"/>
          <w:bCs/>
          <w:w w:val="100"/>
          <w:sz w:val="24"/>
          <w:u w:val="single"/>
          <w:lang w:eastAsia="zh-CN"/>
        </w:rPr>
      </w:pPr>
    </w:p>
    <w:p w14:paraId="06E02AC1">
      <w:pPr>
        <w:pStyle w:val="4"/>
        <w:spacing w:before="0"/>
        <w:ind w:firstLine="602"/>
        <w:rPr>
          <w:b w:val="0"/>
          <w:w w:val="95"/>
          <w:u w:val="single"/>
          <w:lang w:eastAsia="zh-CN"/>
        </w:rPr>
      </w:pPr>
    </w:p>
    <w:p w14:paraId="64F23297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公交站点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7BB1CA5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/>
        <w:ind w:left="119" w:firstLine="0"/>
        <w:jc w:val="center"/>
        <w:textAlignment w:val="auto"/>
        <w:rPr>
          <w:lang w:eastAsia="zh-CN"/>
        </w:rPr>
      </w:pPr>
      <w:r>
        <w:drawing>
          <wp:inline distT="0" distB="0" distL="114300" distR="114300">
            <wp:extent cx="5424805" cy="4846320"/>
            <wp:effectExtent l="0" t="0" r="4445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484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4B88">
      <w:pPr>
        <w:pStyle w:val="4"/>
        <w:spacing w:before="0"/>
        <w:ind w:firstLine="602"/>
        <w:rPr>
          <w:rFonts w:hint="eastAsia"/>
          <w:b w:val="0"/>
          <w:bCs w:val="0"/>
          <w:u w:val="single"/>
          <w:lang w:eastAsia="zh-CN"/>
        </w:rPr>
      </w:pPr>
    </w:p>
    <w:p w14:paraId="595759E9">
      <w:pPr>
        <w:spacing w:line="311" w:lineRule="exact"/>
        <w:ind w:left="118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lang w:eastAsia="zh-CN"/>
        </w:rPr>
        <w:br w:type="column"/>
      </w:r>
      <w:r>
        <w:rPr>
          <w:rFonts w:ascii="微软雅黑" w:hAnsi="微软雅黑" w:eastAsia="微软雅黑" w:cs="微软雅黑"/>
          <w:sz w:val="21"/>
          <w:szCs w:val="21"/>
          <w:lang w:eastAsia="zh-CN"/>
        </w:rPr>
        <w:t xml:space="preserve"> </w:t>
      </w:r>
    </w:p>
    <w:p w14:paraId="1E278967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cs="宋体"/>
          <w:b/>
          <w:bCs/>
          <w:lang w:eastAsia="zh-CN"/>
        </w:rPr>
      </w:pPr>
      <w:r>
        <w:rPr>
          <w:rFonts w:cs="宋体"/>
          <w:b/>
          <w:bCs/>
          <w:lang w:eastAsia="zh-CN"/>
        </w:rPr>
        <w:t>公共</w:t>
      </w:r>
      <w:r>
        <w:rPr>
          <w:rFonts w:hint="eastAsia" w:cs="宋体"/>
          <w:b/>
          <w:bCs/>
          <w:lang w:eastAsia="zh-CN"/>
        </w:rPr>
        <w:t>服务</w:t>
      </w:r>
      <w:r>
        <w:rPr>
          <w:rFonts w:cs="宋体"/>
          <w:b/>
          <w:bCs/>
          <w:lang w:eastAsia="zh-CN"/>
        </w:rPr>
        <w:t>点距离：</w:t>
      </w:r>
    </w:p>
    <w:p w14:paraId="1086C58B">
      <w:pPr>
        <w:pStyle w:val="5"/>
        <w:tabs>
          <w:tab w:val="left" w:pos="1307"/>
          <w:tab w:val="left" w:pos="3703"/>
        </w:tabs>
        <w:spacing w:line="277" w:lineRule="auto"/>
        <w:ind w:right="327"/>
        <w:rPr>
          <w:rFonts w:hint="eastAsia"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幼儿园：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140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20A55B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cs="宋体"/>
          <w:b/>
          <w:bCs/>
          <w:lang w:eastAsia="zh-CN"/>
        </w:rPr>
        <w:tab/>
      </w:r>
      <w:r>
        <w:rPr>
          <w:rFonts w:hint="eastAsia" w:cs="宋体"/>
          <w:b/>
          <w:bCs/>
          <w:lang w:eastAsia="zh-CN"/>
        </w:rPr>
        <w:t>小  学：</w:t>
      </w:r>
      <w:r>
        <w:rPr>
          <w:rFonts w:cs="宋体"/>
          <w:bCs/>
          <w:u w:val="single"/>
          <w:lang w:eastAsia="zh-CN"/>
        </w:rPr>
        <w:t xml:space="preserve"> </w:t>
      </w:r>
      <w:r>
        <w:rPr>
          <w:rFonts w:hint="eastAsia" w:cs="宋体"/>
          <w:bCs/>
          <w:u w:val="single"/>
          <w:lang w:val="en-US" w:eastAsia="zh-CN"/>
        </w:rPr>
        <w:t>700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56457D38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中  学：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600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15480DED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cs="宋体"/>
          <w:bCs/>
          <w:u w:val="single"/>
          <w:lang w:eastAsia="zh-CN"/>
        </w:rPr>
      </w:pPr>
      <w:r>
        <w:rPr>
          <w:rFonts w:hint="eastAsia" w:cs="宋体"/>
          <w:bCs/>
          <w:u w:val="none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医  院：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230</w:t>
      </w:r>
      <w:r>
        <w:rPr>
          <w:rFonts w:cs="宋体"/>
          <w:bCs/>
          <w:u w:val="single"/>
          <w:lang w:eastAsia="zh-CN"/>
        </w:rPr>
        <w:t xml:space="preserve">      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7EED2DCC">
      <w:pPr>
        <w:pStyle w:val="5"/>
        <w:tabs>
          <w:tab w:val="left" w:pos="1305"/>
          <w:tab w:val="left" w:pos="3703"/>
        </w:tabs>
        <w:spacing w:line="277" w:lineRule="auto"/>
        <w:ind w:right="327"/>
        <w:rPr>
          <w:rFonts w:hint="eastAsia" w:eastAsia="微软雅黑" w:cs="宋体"/>
          <w:bCs/>
          <w:u w:val="single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C4C4C"/>
          <w:spacing w:val="0"/>
          <w:sz w:val="21"/>
          <w:szCs w:val="21"/>
          <w:shd w:val="clear" w:fill="FFFFFF"/>
          <w:lang w:val="en-US" w:eastAsia="zh-CN"/>
        </w:rPr>
        <w:tab/>
      </w:r>
      <w:r>
        <w:rPr>
          <w:rFonts w:hint="eastAsia" w:cs="宋体"/>
          <w:b/>
          <w:bCs/>
          <w:lang w:val="en-US" w:eastAsia="zh-CN"/>
        </w:rPr>
        <w:t>商业服务设施：</w:t>
      </w:r>
      <w:r>
        <w:rPr>
          <w:rFonts w:cs="宋体"/>
          <w:b/>
          <w:bCs/>
          <w:u w:val="single"/>
          <w:lang w:eastAsia="zh-CN"/>
        </w:rPr>
        <w:t xml:space="preserve"> </w:t>
      </w:r>
      <w:r>
        <w:rPr>
          <w:rFonts w:hint="eastAsia" w:cs="宋体"/>
          <w:b/>
          <w:bCs/>
          <w:u w:val="single"/>
          <w:lang w:val="en-US" w:eastAsia="zh-CN"/>
        </w:rPr>
        <w:t>230</w:t>
      </w:r>
      <w:r>
        <w:rPr>
          <w:rFonts w:cs="宋体"/>
          <w:bCs/>
          <w:u w:val="single"/>
          <w:lang w:eastAsia="zh-CN"/>
        </w:rPr>
        <w:t xml:space="preserve">       </w:t>
      </w:r>
      <w:r>
        <w:rPr>
          <w:rFonts w:hint="eastAsia" w:cs="宋体"/>
          <w:bCs/>
          <w:u w:val="single"/>
          <w:lang w:eastAsia="zh-CN"/>
        </w:rPr>
        <w:t>米</w:t>
      </w:r>
    </w:p>
    <w:p w14:paraId="4B2CBBC2">
      <w:pPr>
        <w:pStyle w:val="4"/>
        <w:spacing w:before="0"/>
        <w:rPr>
          <w:rFonts w:hint="eastAsia"/>
          <w:b w:val="0"/>
          <w:w w:val="95"/>
          <w:u w:val="single"/>
          <w:lang w:eastAsia="zh-CN"/>
        </w:rPr>
      </w:pPr>
    </w:p>
    <w:p w14:paraId="6EBCD775">
      <w:pPr>
        <w:pStyle w:val="4"/>
        <w:spacing w:before="0"/>
        <w:rPr>
          <w:rFonts w:cs="宋体"/>
          <w:lang w:eastAsia="zh-CN"/>
        </w:rPr>
      </w:pPr>
      <w:r>
        <w:rPr>
          <w:rFonts w:cs="宋体"/>
          <w:lang w:eastAsia="zh-CN"/>
        </w:rPr>
        <w:t>公共</w:t>
      </w:r>
      <w:r>
        <w:rPr>
          <w:rFonts w:hint="eastAsia" w:cs="宋体"/>
          <w:bCs w:val="0"/>
          <w:lang w:eastAsia="zh-CN"/>
        </w:rPr>
        <w:t>服务</w:t>
      </w:r>
      <w:r>
        <w:rPr>
          <w:rFonts w:cs="宋体"/>
          <w:lang w:eastAsia="zh-CN"/>
        </w:rPr>
        <w:t>点</w:t>
      </w:r>
      <w:r>
        <w:rPr>
          <w:rFonts w:hint="eastAsia" w:cs="宋体"/>
          <w:lang w:eastAsia="zh-CN"/>
        </w:rPr>
        <w:t>图例</w:t>
      </w:r>
      <w:r>
        <w:rPr>
          <w:rFonts w:cs="宋体"/>
          <w:lang w:eastAsia="zh-CN"/>
        </w:rPr>
        <w:t>：</w:t>
      </w:r>
    </w:p>
    <w:p w14:paraId="20AAA157">
      <w:pPr>
        <w:pStyle w:val="4"/>
        <w:spacing w:before="0"/>
        <w:rPr>
          <w:rFonts w:hint="eastAsia" w:cs="宋体"/>
          <w:lang w:eastAsia="zh-CN"/>
        </w:rPr>
      </w:pPr>
      <w:r>
        <w:rPr>
          <w:rFonts w:hint="eastAsia" w:cs="宋体"/>
          <w:lang w:eastAsia="zh-CN"/>
        </w:rPr>
        <w:drawing>
          <wp:inline distT="0" distB="0" distL="114300" distR="114300">
            <wp:extent cx="4772025" cy="5781675"/>
            <wp:effectExtent l="0" t="0" r="9525" b="9525"/>
            <wp:docPr id="4" name="图片 4" descr="b7c335a535780c04c407e2094754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7c335a535780c04c407e2094754ec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78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B72A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5336540" cy="4703445"/>
            <wp:effectExtent l="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l="825" t="5819" r="825" b="6045"/>
                    <a:stretch>
                      <a:fillRect/>
                    </a:stretch>
                  </pic:blipFill>
                  <pic:spPr>
                    <a:xfrm>
                      <a:off x="0" y="0"/>
                      <a:ext cx="5336540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5BC2F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drawing>
          <wp:inline distT="0" distB="0" distL="114300" distR="114300">
            <wp:extent cx="6156325" cy="4356100"/>
            <wp:effectExtent l="0" t="0" r="15875" b="635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435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06B0E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p w14:paraId="014C2652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  <w:r>
        <w:rPr>
          <w:rFonts w:ascii="宋体" w:hAnsi="宋体" w:eastAsia="宋体" w:cs="宋体"/>
          <w:b/>
          <w:bCs/>
          <w:sz w:val="20"/>
          <w:szCs w:val="20"/>
          <w:lang w:eastAsia="zh-CN"/>
        </w:rPr>
        <w:br w:type="page"/>
      </w:r>
    </w:p>
    <w:p w14:paraId="49B6CE09">
      <w:pPr>
        <w:pStyle w:val="4"/>
        <w:ind w:left="0"/>
        <w:rPr>
          <w:rFonts w:hint="eastAsia"/>
          <w:lang w:eastAsia="zh-CN"/>
        </w:rPr>
      </w:pPr>
    </w:p>
    <w:p w14:paraId="74B3FBF4">
      <w:pPr>
        <w:pStyle w:val="4"/>
        <w:ind w:left="338"/>
        <w:rPr>
          <w:lang w:eastAsia="zh-CN"/>
        </w:rPr>
      </w:pPr>
      <w:r>
        <w:rPr>
          <w:rFonts w:hint="eastAsia"/>
          <w:lang w:eastAsia="zh-CN"/>
        </w:rPr>
        <w:t>结论</w:t>
      </w:r>
      <w:r>
        <w:rPr>
          <w:lang w:eastAsia="zh-CN"/>
        </w:rPr>
        <w:t>：</w:t>
      </w:r>
    </w:p>
    <w:p w14:paraId="11F78399">
      <w:pPr>
        <w:pStyle w:val="4"/>
        <w:ind w:left="338"/>
        <w:rPr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不满足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0</w:t>
      </w:r>
      <w:r>
        <w:rPr>
          <w:lang w:eastAsia="zh-CN"/>
        </w:rPr>
        <w:t>分。</w:t>
      </w:r>
    </w:p>
    <w:p w14:paraId="3297314B">
      <w:pPr>
        <w:pStyle w:val="4"/>
        <w:ind w:left="338"/>
        <w:rPr>
          <w:rFonts w:hint="eastAsia"/>
          <w:lang w:eastAsia="zh-CN"/>
        </w:rPr>
      </w:pPr>
      <w:r>
        <w:rPr>
          <w:lang w:eastAsia="zh-CN"/>
        </w:rPr>
        <w:tab/>
      </w:r>
      <w:r>
        <w:rPr>
          <w:rFonts w:hint="eastAsia"/>
          <w:lang w:eastAsia="zh-CN"/>
        </w:rPr>
        <w:t>本项目</w:t>
      </w:r>
      <w:r>
        <w:rPr>
          <w:lang w:eastAsia="zh-CN"/>
        </w:rPr>
        <w:t>为</w:t>
      </w:r>
      <w:r>
        <w:rPr>
          <w:rFonts w:hint="eastAsia"/>
          <w:lang w:eastAsia="zh-CN"/>
        </w:rPr>
        <w:t>住宅建筑</w:t>
      </w:r>
      <w:r>
        <w:rPr>
          <w:lang w:eastAsia="zh-CN"/>
        </w:rPr>
        <w:t>，</w:t>
      </w:r>
      <w:r>
        <w:rPr>
          <w:rFonts w:hint="eastAsia"/>
          <w:lang w:eastAsia="zh-CN"/>
        </w:rPr>
        <w:t>满足</w:t>
      </w:r>
      <w:r>
        <w:rPr>
          <w:lang w:eastAsia="zh-CN"/>
        </w:rPr>
        <w:t>第</w:t>
      </w:r>
      <w:r>
        <w:rPr>
          <w:rFonts w:hint="eastAsia"/>
          <w:lang w:val="en-US" w:eastAsia="zh-CN"/>
        </w:rPr>
        <w:t>6.2.3.1</w:t>
      </w:r>
      <w:r>
        <w:rPr>
          <w:lang w:eastAsia="zh-CN"/>
        </w:rPr>
        <w:t>条要求，可得</w:t>
      </w:r>
      <w:r>
        <w:rPr>
          <w:rFonts w:hint="eastAsia"/>
          <w:lang w:val="en-US" w:eastAsia="zh-CN"/>
        </w:rPr>
        <w:t>5</w:t>
      </w:r>
      <w:r>
        <w:rPr>
          <w:lang w:eastAsia="zh-CN"/>
        </w:rPr>
        <w:t>分。</w:t>
      </w:r>
    </w:p>
    <w:p w14:paraId="19179619">
      <w:pPr>
        <w:rPr>
          <w:rFonts w:ascii="宋体" w:hAnsi="宋体" w:eastAsia="宋体" w:cs="宋体"/>
          <w:b/>
          <w:bCs/>
          <w:sz w:val="20"/>
          <w:szCs w:val="20"/>
          <w:lang w:eastAsia="zh-CN"/>
        </w:rPr>
      </w:pPr>
    </w:p>
    <w:sectPr>
      <w:type w:val="continuous"/>
      <w:pgSz w:w="11910" w:h="16840"/>
      <w:pgMar w:top="1580" w:right="168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compatSetting w:name="compatibilityMode" w:uri="http://schemas.microsoft.com/office/word" w:val="12"/>
  </w:compat>
  <w:rsids>
    <w:rsidRoot w:val="00172A27"/>
    <w:rsid w:val="0000133F"/>
    <w:rsid w:val="00142AA0"/>
    <w:rsid w:val="001A3623"/>
    <w:rsid w:val="00281291"/>
    <w:rsid w:val="004B6737"/>
    <w:rsid w:val="006D6EF4"/>
    <w:rsid w:val="00BD6183"/>
    <w:rsid w:val="00CC7FC2"/>
    <w:rsid w:val="00E57C91"/>
    <w:rsid w:val="09DE12E6"/>
    <w:rsid w:val="1419020F"/>
    <w:rsid w:val="14DD5F79"/>
    <w:rsid w:val="3EB27B0B"/>
    <w:rsid w:val="5706124A"/>
    <w:rsid w:val="63977AB1"/>
    <w:rsid w:val="7175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paragraph" w:styleId="2">
    <w:name w:val="heading 1"/>
    <w:basedOn w:val="1"/>
    <w:qFormat/>
    <w:uiPriority w:val="1"/>
    <w:pPr>
      <w:ind w:left="1858" w:hanging="144"/>
      <w:outlineLvl w:val="0"/>
    </w:pPr>
    <w:rPr>
      <w:rFonts w:ascii="微软雅黑" w:hAnsi="微软雅黑" w:eastAsia="微软雅黑"/>
      <w:b/>
      <w:bCs/>
      <w:sz w:val="48"/>
      <w:szCs w:val="48"/>
    </w:rPr>
  </w:style>
  <w:style w:type="paragraph" w:styleId="3">
    <w:name w:val="heading 2"/>
    <w:basedOn w:val="1"/>
    <w:qFormat/>
    <w:uiPriority w:val="1"/>
    <w:pPr>
      <w:ind w:left="1593"/>
      <w:outlineLvl w:val="1"/>
    </w:pPr>
    <w:rPr>
      <w:rFonts w:ascii="微软雅黑" w:hAnsi="微软雅黑" w:eastAsia="微软雅黑"/>
      <w:b/>
      <w:bCs/>
      <w:sz w:val="32"/>
      <w:szCs w:val="32"/>
    </w:rPr>
  </w:style>
  <w:style w:type="paragraph" w:styleId="4">
    <w:name w:val="heading 3"/>
    <w:basedOn w:val="1"/>
    <w:qFormat/>
    <w:uiPriority w:val="1"/>
    <w:pPr>
      <w:spacing w:before="26"/>
      <w:ind w:left="118"/>
      <w:outlineLvl w:val="2"/>
    </w:pPr>
    <w:rPr>
      <w:rFonts w:ascii="宋体" w:hAnsi="宋体" w:eastAsia="宋体"/>
      <w:b/>
      <w:bCs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ind w:left="118"/>
    </w:pPr>
    <w:rPr>
      <w:rFonts w:ascii="宋体" w:hAnsi="宋体" w:eastAsia="宋体"/>
      <w:sz w:val="24"/>
      <w:szCs w:val="24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1"/>
  </w:style>
  <w:style w:type="paragraph" w:customStyle="1" w:styleId="13">
    <w:name w:val="Table Paragraph"/>
    <w:basedOn w:val="1"/>
    <w:qFormat/>
    <w:uiPriority w:val="1"/>
  </w:style>
  <w:style w:type="character" w:customStyle="1" w:styleId="14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5">
    <w:name w:val="页脚 Char"/>
    <w:basedOn w:val="10"/>
    <w:link w:val="6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1036</Words>
  <Characters>1203</Characters>
  <Lines>10</Lines>
  <Paragraphs>2</Paragraphs>
  <TotalTime>0</TotalTime>
  <ScaleCrop>false</ScaleCrop>
  <LinksUpToDate>false</LinksUpToDate>
  <CharactersWithSpaces>1530</CharactersWithSpaces>
  <Application>WPS Office_12.1.0.21911_F1E327BC-269C-435d-A152-05C5408002CA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2020-01-09T10:59:00Z</dcterms:created>
  <dc:creator>p</dc:creator>
  <cp:lastModifiedBy>友誼</cp:lastModifiedBy>
  <dcterms:modified xsi:type="dcterms:W3CDTF">2025-08-18T02:13:54Z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2016-07-06T00:00:00Z</vt:filetime>
  </property>
  <property fmtid="{D5CDD505-2E9C-101B-9397-08002B2CF9AE}" pid="3" name="LastSaved">
    <vt:filetime>2020-01-09T00:00:00Z</vt:filetime>
  </property>
  <property fmtid="{D5CDD505-2E9C-101B-9397-08002B2CF9AE}" pid="4" name="KSOTemplateDocerSaveRecord">
    <vt:lpwstr>eyJoZGlkIjoiNDc2ZDFiOWVlMjdkYjI2MDhhMWNjOWEwMGJiODFmYWEiLCJ1c2VySWQiOiI0MDM1NDI5MDIifQ==</vt:lpwstr>
  </property>
  <property fmtid="{D5CDD505-2E9C-101B-9397-08002B2CF9AE}" pid="5" name="KSOProductBuildVer">
    <vt:lpwstr>2052-12.1.0.21911</vt:lpwstr>
  </property>
  <property fmtid="{D5CDD505-2E9C-101B-9397-08002B2CF9AE}" pid="6" name="ICV">
    <vt:lpwstr>64A8AB747D40443E93B31B5CF286E670_12</vt:lpwstr>
  </property>
</Properties>
</file>