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619E">
      <w:pPr>
        <w:spacing w:line="360" w:lineRule="auto"/>
        <w:jc w:val="both"/>
        <w:rPr>
          <w:rFonts w:hint="eastAsia" w:ascii="仿宋" w:hAnsi="仿宋" w:eastAsia="仿宋"/>
          <w:b/>
          <w:sz w:val="48"/>
          <w:szCs w:val="48"/>
        </w:rPr>
      </w:pPr>
    </w:p>
    <w:p w14:paraId="4C8E9BE2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0CCB80A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3754A09">
      <w:pPr>
        <w:spacing w:line="360" w:lineRule="auto"/>
        <w:jc w:val="center"/>
        <w:rPr>
          <w:rFonts w:hint="eastAsia" w:ascii="宋体" w:hAnsi="宋体" w:eastAsia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本地化建筑材料使用比例计算书</w:t>
      </w:r>
    </w:p>
    <w:p w14:paraId="58D3131E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可循环材料利用比例计算书</w:t>
      </w:r>
    </w:p>
    <w:p w14:paraId="58F6D3E3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55887D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DF8D7F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3D8A976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64C524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5918F0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9CC2F3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38AA0C9"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1B5EE367">
      <w:pPr>
        <w:jc w:val="center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cs="宋体"/>
          <w:sz w:val="32"/>
          <w:szCs w:val="32"/>
          <w:lang w:val="zh-CN" w:eastAsia="zh-CN"/>
        </w:rPr>
        <w:t>济南新旧动能转换起步区褚家村、崔寨村等城中村改造项目 F-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sz w:val="32"/>
          <w:szCs w:val="32"/>
          <w:lang w:val="zh-CN" w:eastAsia="zh-CN"/>
        </w:rPr>
        <w:t>地块</w:t>
      </w:r>
    </w:p>
    <w:p w14:paraId="2DA3718F">
      <w:pPr>
        <w:jc w:val="center"/>
        <w:rPr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011A6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bookmarkStart w:id="0" w:name="_Toc29334"/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项目概况</w:t>
      </w:r>
      <w:bookmarkEnd w:id="0"/>
    </w:p>
    <w:p w14:paraId="766E75D6">
      <w:pPr>
        <w:pStyle w:val="2"/>
        <w:spacing w:after="312"/>
        <w:jc w:val="left"/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本项目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US" w:eastAsia="zh-CN" w:bidi="ar-SA"/>
        </w:rPr>
        <w:t>是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  <w:t>济南新旧动能转换起步区褚家村、崔寨村等城中村改造项目 F-1地块</w:t>
      </w:r>
      <w:r>
        <w:rPr>
          <w:rFonts w:hint="eastAsia" w:ascii="Times New Roman" w:hAnsi="Times New Roman" w:eastAsia="宋体"/>
          <w:sz w:val="24"/>
          <w:szCs w:val="24"/>
        </w:rPr>
        <w:t>。位于济南新旧动能转换起步区崔寨片区，北邻北边界路，东临西环路，西临解营路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  <w:t>。工程设计类别、等级：住宅小区、二级。主要经济技术指标：总用地面积28634.00平方米，总建筑面积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US" w:eastAsia="zh-CN" w:bidi="ar-SA"/>
        </w:rPr>
        <w:t>97857.65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  <w:t>平方米，其中地上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US" w:eastAsia="zh-CN" w:bidi="ar-SA"/>
        </w:rPr>
        <w:t>67523.17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  <w:t>平方米，地下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US" w:eastAsia="zh-CN" w:bidi="ar-SA"/>
        </w:rPr>
        <w:t>30334.48</w:t>
      </w:r>
      <w:r>
        <w:rPr>
          <w:rFonts w:hint="eastAsia" w:ascii="Times New Roman" w:hAnsi="Times New Roman" w:eastAsia="宋体" w:cstheme="minorBidi"/>
          <w:bCs w:val="0"/>
          <w:kern w:val="2"/>
          <w:sz w:val="24"/>
          <w:szCs w:val="24"/>
          <w:lang w:val="en-GB" w:eastAsia="zh-CN" w:bidi="ar-SA"/>
        </w:rPr>
        <w:t>平方米。建筑密度19.99%，地上容积率2.36，地下容积率0.70，绿地率35.1%。机动车停车位630辆，非机动车停车位1267辆。</w:t>
      </w:r>
    </w:p>
    <w:p w14:paraId="4269E572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highlight w:val="yellow"/>
          <w:lang w:val="en-US"/>
        </w:rPr>
      </w:pPr>
      <w:r>
        <w:rPr>
          <w:rFonts w:hint="eastAsia" w:ascii="Times New Roman" w:hAnsi="Times New Roman" w:eastAsia="宋体"/>
          <w:sz w:val="24"/>
          <w:szCs w:val="24"/>
        </w:rPr>
        <w:t>建筑结构形式、结构类别：住宅楼采用装配整体式剪力墙结构，基础形式为筏板+桩基础；大门等配套公建为框架结构，基础形式为独立基础；车库为框架结构，基础形式为筏板+柱墩。</w:t>
      </w:r>
    </w:p>
    <w:p w14:paraId="40DB7756">
      <w:pPr>
        <w:spacing w:line="360" w:lineRule="auto"/>
        <w:ind w:firstLine="420" w:firstLineChars="200"/>
        <w:jc w:val="center"/>
        <w:rPr>
          <w:rFonts w:hint="eastAsia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/>
        </w:rPr>
        <w:drawing>
          <wp:inline distT="0" distB="0" distL="114300" distR="114300">
            <wp:extent cx="4029075" cy="3362325"/>
            <wp:effectExtent l="0" t="0" r="9525" b="5715"/>
            <wp:docPr id="2" name="图片 2" descr="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鸟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F8862"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br w:type="page"/>
      </w:r>
    </w:p>
    <w:p w14:paraId="64A798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评价依据</w:t>
      </w:r>
    </w:p>
    <w:p w14:paraId="5DE98D83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《绿色建筑评价标准》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DB37/T 5097-2021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，其中7.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条规定：选用的建筑材料应符合下列要求：</w:t>
      </w:r>
    </w:p>
    <w:p w14:paraId="4E184C53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500km 以内生产的建筑材料重量占建筑材料总重量的比例应大于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%；</w:t>
      </w:r>
    </w:p>
    <w:p w14:paraId="03B3EE5D">
      <w:pPr>
        <w:spacing w:afterLines="50" w:line="360" w:lineRule="auto"/>
        <w:ind w:firstLine="360" w:firstLineChars="1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现浇混凝土应采用预拌混凝土，建筑砂浆应采用预拌砂浆。。</w:t>
      </w:r>
    </w:p>
    <w:p w14:paraId="44931F5B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《绿色建筑评价标准》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DB37/T 5097-2021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，其中7.2.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条规定：选用可再循环材料、可再利用材料及利废建材，评价总分值为 12 分，并按下列规则分别评分并累计：</w:t>
      </w:r>
    </w:p>
    <w:p w14:paraId="6D9449B1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 可再循环材料和可再利用材料用量比例，按下列规则评分：</w:t>
      </w:r>
    </w:p>
    <w:p w14:paraId="0DB8CDDD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1）住宅建筑达到 6%或公共建筑达到 10%，得 3 分。</w:t>
      </w:r>
    </w:p>
    <w:p w14:paraId="28C500A5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2）住宅建筑达到 10%或公共建筑达到 15%，得 6 分。</w:t>
      </w:r>
    </w:p>
    <w:p w14:paraId="7AD553CB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 利废建材选用及其用量比例，按下列规则评分：</w:t>
      </w:r>
    </w:p>
    <w:p w14:paraId="348882E1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1）采用一种利废建材，其占同类建材的用量比例不低于 50%，得 3 分。</w:t>
      </w:r>
    </w:p>
    <w:p w14:paraId="5885C509">
      <w:pPr>
        <w:spacing w:afterLines="50" w:line="360" w:lineRule="auto"/>
        <w:ind w:firstLine="360" w:firstLineChars="15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2）选用二种及以上的利废建材，每一种占同类建材的用量比例均不低于30%，得 6 分。</w:t>
      </w:r>
    </w:p>
    <w:p w14:paraId="0FB1130B">
      <w:pP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br w:type="page"/>
      </w:r>
    </w:p>
    <w:p w14:paraId="5003C3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计算判定</w:t>
      </w:r>
    </w:p>
    <w:p w14:paraId="33B21482">
      <w:pPr>
        <w:pStyle w:val="15"/>
        <w:spacing w:line="360" w:lineRule="auto"/>
        <w:ind w:firstLine="0" w:firstLineChars="0"/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1#楼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7"/>
        <w:gridCol w:w="967"/>
        <w:gridCol w:w="1066"/>
        <w:gridCol w:w="648"/>
        <w:gridCol w:w="852"/>
        <w:gridCol w:w="809"/>
        <w:gridCol w:w="849"/>
        <w:gridCol w:w="927"/>
        <w:gridCol w:w="1106"/>
        <w:gridCol w:w="1046"/>
      </w:tblGrid>
      <w:tr w14:paraId="3A96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B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B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20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F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80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56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3EC5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9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43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A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B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6D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8E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91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E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637.35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A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9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1090.21</w:t>
            </w:r>
          </w:p>
        </w:tc>
        <w:tc>
          <w:tcPr>
            <w:tcW w:w="54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14640.43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15095.78</w:t>
            </w:r>
          </w:p>
        </w:tc>
      </w:tr>
      <w:tr w14:paraId="4E84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B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E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0F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96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8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1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6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E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D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5D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8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E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C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2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E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D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787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2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7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3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353.53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C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2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6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33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A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4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2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D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34.93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F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D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1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5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2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07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3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7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12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5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1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27.45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F8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F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06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C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5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C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A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F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F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3F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0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15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C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2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7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4782.88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A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9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11478.92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C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6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C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F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9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9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B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1745.87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A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8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C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1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7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8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5C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E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E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F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8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B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E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8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8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D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131.04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8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D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8D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5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A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4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1032.76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671.29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34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8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5E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B2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22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97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B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B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5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22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5E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45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C0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4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6C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64BC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D5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2B34A8C3">
      <w:pP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br w:type="page"/>
      </w:r>
    </w:p>
    <w:p w14:paraId="7EDB2EE8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2#楼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7"/>
        <w:gridCol w:w="967"/>
        <w:gridCol w:w="1066"/>
        <w:gridCol w:w="648"/>
        <w:gridCol w:w="852"/>
        <w:gridCol w:w="809"/>
        <w:gridCol w:w="849"/>
        <w:gridCol w:w="927"/>
        <w:gridCol w:w="1106"/>
        <w:gridCol w:w="1046"/>
      </w:tblGrid>
      <w:tr w14:paraId="3DE8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E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39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8B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67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F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B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5A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3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9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4C79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40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B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F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C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2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8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F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B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A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637.35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9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6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D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1090.21</w:t>
            </w:r>
          </w:p>
        </w:tc>
        <w:tc>
          <w:tcPr>
            <w:tcW w:w="54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14640.43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15095.78</w:t>
            </w:r>
          </w:p>
        </w:tc>
      </w:tr>
      <w:tr w14:paraId="71D6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F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E8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1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F4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C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4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1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F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8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0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B6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8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8A6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4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F9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1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2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353.53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D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3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07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C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F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2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03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0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31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4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5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34.93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B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7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3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1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82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D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3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E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26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0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9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4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8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B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4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27.45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2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0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17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7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8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A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D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0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D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F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CC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8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D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F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94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E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7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4782.88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A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11478.92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F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0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41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F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D2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1745.87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4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10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38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0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6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88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7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B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C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9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F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B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D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B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2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4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131.04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4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6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7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1C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4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C0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D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1032.76 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C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7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671.29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3E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D3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D7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F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F9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E3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5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A3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3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6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60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FD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C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5C7C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60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40DD9959">
      <w:pP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br w:type="page"/>
      </w:r>
    </w:p>
    <w:p w14:paraId="3C0F4704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3#楼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58"/>
        <w:gridCol w:w="1060"/>
        <w:gridCol w:w="1052"/>
        <w:gridCol w:w="780"/>
        <w:gridCol w:w="905"/>
        <w:gridCol w:w="756"/>
        <w:gridCol w:w="970"/>
        <w:gridCol w:w="739"/>
        <w:gridCol w:w="1040"/>
        <w:gridCol w:w="1051"/>
      </w:tblGrid>
      <w:tr w14:paraId="10DB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37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1D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038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9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8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5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8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FE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36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09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5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407A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3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0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8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0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A3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48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B28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E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84A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720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33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F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7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6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A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1061.72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D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1816.12 </w:t>
            </w:r>
          </w:p>
        </w:tc>
        <w:tc>
          <w:tcPr>
            <w:tcW w:w="10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2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24098.48 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0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24857.03 </w:t>
            </w:r>
          </w:p>
        </w:tc>
      </w:tr>
      <w:tr w14:paraId="10E9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BAF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E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328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0B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28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E7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6B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E0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FA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5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6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7E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7C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1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5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B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0F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95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FF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7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8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BA9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E1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31.44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4D8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FB1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ED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AD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C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94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84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F4E6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B4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03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24D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6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4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6F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0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E8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23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4D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588.93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3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E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B70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D9E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80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F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2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25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09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74CB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7B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CE5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5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32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88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EAA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C0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9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2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22.38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02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B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6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20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F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A4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8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F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70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2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E2A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F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148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8C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DB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69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719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AE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E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6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18.29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0F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45.73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07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CB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C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37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81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5A9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55A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A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C9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1B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CE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19.11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26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CF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509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9A8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28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4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7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12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8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C6C5C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86E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8F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6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4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8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31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9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E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7800.87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18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18722.08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B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828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1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2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A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C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D9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568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D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2908.34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5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FD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65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88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15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9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9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1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4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C3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1B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96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9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46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B1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5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0F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E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27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20.63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B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A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8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9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1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45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D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8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218.29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7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F5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120.06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5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E2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2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91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EE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D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0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1889.38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B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72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1228.10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7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4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9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F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4D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0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98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52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C3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32.57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0F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C3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47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F8A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B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96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0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359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8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7.31%</w:t>
            </w:r>
          </w:p>
        </w:tc>
      </w:tr>
      <w:tr w14:paraId="1376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9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C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96.95%</w:t>
            </w:r>
          </w:p>
        </w:tc>
      </w:tr>
    </w:tbl>
    <w:p w14:paraId="33B585D8">
      <w:pPr>
        <w:rPr>
          <w:rFonts w:hint="default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4#楼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99"/>
        <w:gridCol w:w="984"/>
        <w:gridCol w:w="1040"/>
        <w:gridCol w:w="792"/>
        <w:gridCol w:w="903"/>
        <w:gridCol w:w="762"/>
        <w:gridCol w:w="849"/>
        <w:gridCol w:w="1004"/>
        <w:gridCol w:w="970"/>
        <w:gridCol w:w="1042"/>
      </w:tblGrid>
      <w:tr w14:paraId="49A3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4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E9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8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161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62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5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8F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98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7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7B3D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5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B1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80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23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C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4D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653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49D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5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B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4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5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DA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708.16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B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F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9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2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1211.35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16252.49</w:t>
            </w:r>
          </w:p>
        </w:tc>
        <w:tc>
          <w:tcPr>
            <w:tcW w:w="51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16758.44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38D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8C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F9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B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1999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A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5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B1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AD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31B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6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4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CB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10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8F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A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AB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8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8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A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CB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22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4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5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3F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4D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20.97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6D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C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E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F0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C5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BD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B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187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4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82B0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5C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2B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A0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841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F6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A8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104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2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2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6F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D6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392.82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B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6C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CC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FD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6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C5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9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F32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15C5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5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DEA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A6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6C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8A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026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A6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C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F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5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A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38.81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0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4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A3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55A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F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97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1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2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504F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9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7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6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48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7C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1E6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E6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3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6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95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A9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A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0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9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A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B34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5A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0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9E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A43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8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12.74 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4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6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4E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4D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35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3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E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8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0F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85752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B5D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4B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0D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A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144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52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FF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4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5314.32 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3E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12754.36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8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17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6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E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5B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3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5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7D9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6A6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33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1939.85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7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3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5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213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E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3C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C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3A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89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58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48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74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1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1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57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4E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F57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B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48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3E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74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13.76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D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4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D4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83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16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3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4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145.60 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B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2C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45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30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D4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87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7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1124.97 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8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8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731.23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0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3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27F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AA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E6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E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D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00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F0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A9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21.72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E5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9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E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5B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9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131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9A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0C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0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03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7.23%</w:t>
            </w:r>
          </w:p>
        </w:tc>
      </w:tr>
      <w:tr w14:paraId="404B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03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0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96.98%</w:t>
            </w:r>
          </w:p>
        </w:tc>
      </w:tr>
    </w:tbl>
    <w:p w14:paraId="7CEC1E2D">
      <w:pP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br w:type="page"/>
      </w:r>
    </w:p>
    <w:p w14:paraId="164C9903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5#楼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7"/>
        <w:gridCol w:w="967"/>
        <w:gridCol w:w="1066"/>
        <w:gridCol w:w="648"/>
        <w:gridCol w:w="852"/>
        <w:gridCol w:w="809"/>
        <w:gridCol w:w="849"/>
        <w:gridCol w:w="927"/>
        <w:gridCol w:w="1106"/>
        <w:gridCol w:w="1046"/>
      </w:tblGrid>
      <w:tr w14:paraId="3577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34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E3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CF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E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C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3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FA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F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2BF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C9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1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8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0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3B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F5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60F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4E8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E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498.19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4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8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852.18 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11495.40 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11851.33 </w:t>
            </w:r>
          </w:p>
        </w:tc>
      </w:tr>
      <w:tr w14:paraId="0AA0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F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C2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1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F7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4D2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501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11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33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D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51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66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5E8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8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14.75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FD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A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F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2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F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F34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A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C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44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588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87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5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276.34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C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1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8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4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8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0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64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DB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3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C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3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D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16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2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6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1C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2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8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84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0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C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21.46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E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2F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3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FE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F36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513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1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8.96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A7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7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8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43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7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5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3738.60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C7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8972.64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5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6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9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E3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171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56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99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1364.68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5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B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46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6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24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5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D63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09B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F8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4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09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2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0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1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D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5A7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3D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F6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7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B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07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9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C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4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102.43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D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A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0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3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CA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886.55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B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576.26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73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3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5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82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9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1198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BBA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55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B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83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73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4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76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B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D6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2572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B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00271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7056C9A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6#楼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7"/>
        <w:gridCol w:w="967"/>
        <w:gridCol w:w="1066"/>
        <w:gridCol w:w="648"/>
        <w:gridCol w:w="852"/>
        <w:gridCol w:w="809"/>
        <w:gridCol w:w="849"/>
        <w:gridCol w:w="927"/>
        <w:gridCol w:w="1106"/>
        <w:gridCol w:w="1046"/>
      </w:tblGrid>
      <w:tr w14:paraId="0ED0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4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30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D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8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1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2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F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5DE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5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C5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1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CC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9A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F1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B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CB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837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D5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424.90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9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2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726.81 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9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9804.24 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10107.81 </w:t>
            </w:r>
          </w:p>
        </w:tc>
      </w:tr>
      <w:tr w14:paraId="3B83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4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F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A3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D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9C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35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85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63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8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F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9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6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6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E1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13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65A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38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9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F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8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48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6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8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B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345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C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BF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4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30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48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235.69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5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A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B3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6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3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2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6E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F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C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8.96 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7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7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2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7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A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A1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E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A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65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C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F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B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F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4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5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54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6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38C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FF4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29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1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0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C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C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9C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9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7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0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6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B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55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9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3188.59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9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7652.62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0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4E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C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6B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DF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A69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AA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1163.91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3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52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FF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F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85C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257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29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A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B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5C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3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B4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9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C8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82E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E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A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A25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1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6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3B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5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C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87.36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DD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B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6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6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D6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5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756.13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5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491.48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6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3A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1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E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B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1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D616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D616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DD3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1F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5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7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7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C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6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1C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D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0A9A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F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2175F6E5">
      <w:pP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br w:type="page"/>
      </w:r>
    </w:p>
    <w:p w14:paraId="72138429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7#楼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20"/>
        <w:gridCol w:w="985"/>
        <w:gridCol w:w="931"/>
        <w:gridCol w:w="895"/>
        <w:gridCol w:w="905"/>
        <w:gridCol w:w="885"/>
        <w:gridCol w:w="902"/>
        <w:gridCol w:w="896"/>
        <w:gridCol w:w="932"/>
        <w:gridCol w:w="932"/>
      </w:tblGrid>
      <w:tr w14:paraId="4800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00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E7D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7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4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9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4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BB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07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3C67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DC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7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511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B33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94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D8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641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38C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FB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F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03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B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9C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318.67 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3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E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545.11 </w:t>
            </w:r>
          </w:p>
        </w:tc>
        <w:tc>
          <w:tcPr>
            <w:tcW w:w="9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7260.22 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9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7487.89 </w:t>
            </w:r>
          </w:p>
        </w:tc>
      </w:tr>
      <w:tr w14:paraId="04C7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BB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12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F5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AC52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0A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2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7C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8A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1F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3A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1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DC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1C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9D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8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47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F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6D0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F6D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381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1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D9A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43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95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11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12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BD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3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0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F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89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A6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F9419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0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5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8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309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27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5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4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7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2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BD0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52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0C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176.77 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4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09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A6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AA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26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A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3A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78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F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0DE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7A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6C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F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6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13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CC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1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2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2C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7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D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C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23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73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FE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C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EF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A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3145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0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34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B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C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36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31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7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B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0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1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13.73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E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E5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2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3F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23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5C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B3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5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D6A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BA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E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20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BC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3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B9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82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AF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D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FD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4EE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7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B0F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BB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86C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D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9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FA4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32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9A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F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0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2366.44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1E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5679.46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AA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6B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6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423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C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22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B2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44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872.93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0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7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75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51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F3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9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3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2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1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C6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54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F1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9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41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EC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246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4E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6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7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53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4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5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5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F4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A7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53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A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E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9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65.52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F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36.04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1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9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3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7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EF8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A2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F00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A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3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516.38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38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335.65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B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6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B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94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56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D8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117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C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B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16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50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9.77 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169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D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B2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C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B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4D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6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9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3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2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5CAF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39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240367DD">
      <w:pP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br w:type="page"/>
      </w:r>
    </w:p>
    <w:p w14:paraId="2BAD8212">
      <w:pPr>
        <w:pStyle w:val="15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8#楼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58"/>
        <w:gridCol w:w="1060"/>
        <w:gridCol w:w="1052"/>
        <w:gridCol w:w="780"/>
        <w:gridCol w:w="905"/>
        <w:gridCol w:w="756"/>
        <w:gridCol w:w="970"/>
        <w:gridCol w:w="739"/>
        <w:gridCol w:w="1040"/>
        <w:gridCol w:w="1051"/>
      </w:tblGrid>
      <w:tr w14:paraId="1456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37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47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A26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6F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A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5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8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E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36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63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3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F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0CFD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E6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1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B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E7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E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064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2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5961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D7CA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F8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F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D33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A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E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1061.72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8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3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1816.12 </w:t>
            </w:r>
          </w:p>
        </w:tc>
        <w:tc>
          <w:tcPr>
            <w:tcW w:w="10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24098.48 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24857.03 </w:t>
            </w:r>
          </w:p>
        </w:tc>
      </w:tr>
      <w:tr w14:paraId="59DA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0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5B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F9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424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2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7B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C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A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8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EE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E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1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8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658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7B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A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5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D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77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FB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DE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A16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F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1BE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4E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0F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31.44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E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B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62B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9C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41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8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B0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6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A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30C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8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F0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DF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2B0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A0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C37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3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A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FB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B0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2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588.93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63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B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1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9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DD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3C8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E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5F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C7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04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D9494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1D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D2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43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BF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79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77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3A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5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22.38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8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29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0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9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0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BD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F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4C2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3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2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89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3BBD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65D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8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15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AC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4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5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5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18.29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27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45.73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05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AB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7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08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55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B5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2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D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71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F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19.11 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6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4C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EAD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4C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CA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D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2B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BE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B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ED7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31F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1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90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08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BE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54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C65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B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7800.87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9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2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18722.08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5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D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AF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AD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4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E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F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E3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DB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93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2908.34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DC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A61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D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AA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C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8E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92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A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7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C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B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E6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1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F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4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B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7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52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20.63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F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3A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F0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FA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AF1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9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218.29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3F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120.06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3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93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0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F5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48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B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E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1889.38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4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2D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1228.10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0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7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8D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AE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C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5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0A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270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6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32.57 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50C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7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C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A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6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16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435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84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1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7.31%</w:t>
            </w:r>
          </w:p>
        </w:tc>
      </w:tr>
      <w:tr w14:paraId="3109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95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96.95%</w:t>
            </w:r>
          </w:p>
        </w:tc>
      </w:tr>
    </w:tbl>
    <w:p w14:paraId="6F3128AB">
      <w:pPr>
        <w:pStyle w:val="15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9#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67"/>
        <w:gridCol w:w="967"/>
        <w:gridCol w:w="1066"/>
        <w:gridCol w:w="648"/>
        <w:gridCol w:w="852"/>
        <w:gridCol w:w="809"/>
        <w:gridCol w:w="849"/>
        <w:gridCol w:w="927"/>
        <w:gridCol w:w="1106"/>
        <w:gridCol w:w="1046"/>
      </w:tblGrid>
      <w:tr w14:paraId="4F1A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B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F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7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7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D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E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4D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9E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16B5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DE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7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D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5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A4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0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E7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9C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F67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67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424.90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726.81 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E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9804.24 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10107.81 </w:t>
            </w:r>
          </w:p>
        </w:tc>
      </w:tr>
      <w:tr w14:paraId="1B35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D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4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0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A9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8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057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C26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E0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5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7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E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F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1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B3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28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7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F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0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E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2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7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C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B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E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2E9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2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7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7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D0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B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33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178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4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235.69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5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3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6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03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B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2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E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93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C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69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8.96 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9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C2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23.28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7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6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F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3F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8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7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1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B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9F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1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5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4C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8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C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7D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A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F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C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96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9B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E1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2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F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D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F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A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1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2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E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2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E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A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C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1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5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3188.59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0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C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7652.62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D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D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7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3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8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F6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73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1163.91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F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C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7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9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BA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344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1DB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62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F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6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8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C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2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B9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F38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5A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1F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F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F9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53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87.36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8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09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9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A4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F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EE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4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756.13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5E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491.48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7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28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4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0E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196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F23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8D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5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1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2D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9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0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5F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48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83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14B8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5E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18A6D4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880BD4A">
      <w:pPr>
        <w:pStyle w:val="15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u w:val="single"/>
          <w:lang w:val="en-US" w:eastAsia="zh-CN" w:bidi="ar-SA"/>
        </w:rPr>
        <w:t>地下车库</w:t>
      </w:r>
    </w:p>
    <w:tbl>
      <w:tblPr>
        <w:tblStyle w:val="10"/>
        <w:tblW w:w="50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46"/>
        <w:gridCol w:w="1007"/>
        <w:gridCol w:w="947"/>
        <w:gridCol w:w="648"/>
        <w:gridCol w:w="852"/>
        <w:gridCol w:w="809"/>
        <w:gridCol w:w="849"/>
        <w:gridCol w:w="927"/>
        <w:gridCol w:w="1106"/>
        <w:gridCol w:w="1046"/>
      </w:tblGrid>
      <w:tr w14:paraId="1A84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8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建筑材料种类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C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</w:t>
            </w:r>
          </w:p>
        </w:tc>
        <w:tc>
          <w:tcPr>
            <w:tcW w:w="49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0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</w:t>
            </w:r>
          </w:p>
        </w:tc>
        <w:tc>
          <w:tcPr>
            <w:tcW w:w="46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9E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</w:t>
            </w:r>
          </w:p>
        </w:tc>
        <w:tc>
          <w:tcPr>
            <w:tcW w:w="3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D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厂家区位</w:t>
            </w:r>
          </w:p>
        </w:tc>
        <w:tc>
          <w:tcPr>
            <w:tcW w:w="4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B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运输半径（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B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是否为本地化材料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3C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是否为可循环利用材料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E9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可循环利用材料总重（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0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建筑材料总重量（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29C1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23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D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57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7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A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7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钢材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769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D1D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19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6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6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2307.69 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30319.95 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31245.49 </w:t>
            </w:r>
          </w:p>
        </w:tc>
      </w:tr>
      <w:tr w14:paraId="162E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C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98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(钢筋)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6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1A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1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铁件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00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93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16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94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5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5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铜材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01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5F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5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4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D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9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C5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C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F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538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B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FA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FDF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33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9A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F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D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B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1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1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8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（木地板、门、装修木材）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D5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6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CF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70.99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9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F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00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3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2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76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（窗框、吊顶等）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1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F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4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22.32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9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9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B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BC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C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83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A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其他可循环材料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BE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C89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0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23.31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C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D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2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F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4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7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1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（预制安装成品构件）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9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D2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9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10486.10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7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A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25166.64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B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9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70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9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97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0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建筑砂浆及抹灰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8C2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CEB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6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3548.62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9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3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C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0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C91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BF3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3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11.14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5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35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AD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石材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107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20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8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25.17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9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A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D1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7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9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2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砌块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4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266.35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3C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146.49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48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0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C4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3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ALC条板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A10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5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F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1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06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1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20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1AB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F5E1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FD7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39.73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13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2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8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6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4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A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07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C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F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85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5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可循环材料用量比例</w:t>
            </w:r>
          </w:p>
        </w:tc>
        <w:tc>
          <w:tcPr>
            <w:tcW w:w="1514" w:type="pct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C2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 w14:paraId="2606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5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D9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本地材料用量比例</w:t>
            </w: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 w14:paraId="04A56F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ECE2D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bookmarkStart w:id="1" w:name="_Toc12132"/>
      <w:bookmarkStart w:id="2" w:name="_Toc26332"/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结论</w:t>
      </w:r>
    </w:p>
    <w:bookmarkEnd w:id="1"/>
    <w:bookmarkEnd w:id="2"/>
    <w:tbl>
      <w:tblPr>
        <w:tblStyle w:val="11"/>
        <w:tblpPr w:leftFromText="180" w:rightFromText="180" w:vertAnchor="text" w:horzAnchor="page" w:tblpX="1341" w:tblpY="41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68"/>
        <w:gridCol w:w="2179"/>
        <w:gridCol w:w="2179"/>
        <w:gridCol w:w="1528"/>
        <w:gridCol w:w="1354"/>
      </w:tblGrid>
      <w:tr w14:paraId="12B3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623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楼号</w:t>
            </w:r>
          </w:p>
        </w:tc>
        <w:tc>
          <w:tcPr>
            <w:tcW w:w="1568" w:type="dxa"/>
            <w:vAlign w:val="top"/>
          </w:tcPr>
          <w:p w14:paraId="2FF1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可再循环材料总重量（t）</w:t>
            </w:r>
          </w:p>
        </w:tc>
        <w:tc>
          <w:tcPr>
            <w:tcW w:w="2179" w:type="dxa"/>
            <w:vAlign w:val="top"/>
          </w:tcPr>
          <w:p w14:paraId="3494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本地材料总重量（t）</w:t>
            </w:r>
          </w:p>
        </w:tc>
        <w:tc>
          <w:tcPr>
            <w:tcW w:w="2179" w:type="dxa"/>
            <w:vAlign w:val="top"/>
          </w:tcPr>
          <w:p w14:paraId="66D6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建筑材料总重量（t）</w:t>
            </w:r>
          </w:p>
        </w:tc>
        <w:tc>
          <w:tcPr>
            <w:tcW w:w="1528" w:type="dxa"/>
            <w:vAlign w:val="top"/>
          </w:tcPr>
          <w:p w14:paraId="449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可再循环材料用量比例</w:t>
            </w:r>
          </w:p>
        </w:tc>
        <w:tc>
          <w:tcPr>
            <w:tcW w:w="1354" w:type="dxa"/>
            <w:vAlign w:val="top"/>
          </w:tcPr>
          <w:p w14:paraId="14C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本地材料用量比例</w:t>
            </w:r>
          </w:p>
        </w:tc>
      </w:tr>
      <w:tr w14:paraId="6DC5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2AE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1#楼</w:t>
            </w:r>
          </w:p>
        </w:tc>
        <w:tc>
          <w:tcPr>
            <w:tcW w:w="1568" w:type="dxa"/>
            <w:vAlign w:val="center"/>
          </w:tcPr>
          <w:p w14:paraId="421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1090.21 </w:t>
            </w:r>
          </w:p>
        </w:tc>
        <w:tc>
          <w:tcPr>
            <w:tcW w:w="2179" w:type="dxa"/>
            <w:vAlign w:val="center"/>
          </w:tcPr>
          <w:p w14:paraId="39A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14640.43 </w:t>
            </w:r>
          </w:p>
        </w:tc>
        <w:tc>
          <w:tcPr>
            <w:tcW w:w="2179" w:type="dxa"/>
            <w:vAlign w:val="center"/>
          </w:tcPr>
          <w:p w14:paraId="39D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15095.78 </w:t>
            </w:r>
          </w:p>
        </w:tc>
        <w:tc>
          <w:tcPr>
            <w:tcW w:w="1528" w:type="dxa"/>
            <w:vAlign w:val="center"/>
          </w:tcPr>
          <w:p w14:paraId="4F6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7.22%</w:t>
            </w:r>
          </w:p>
        </w:tc>
        <w:tc>
          <w:tcPr>
            <w:tcW w:w="1354" w:type="dxa"/>
            <w:vAlign w:val="center"/>
          </w:tcPr>
          <w:p w14:paraId="52E2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96.98%</w:t>
            </w:r>
          </w:p>
        </w:tc>
      </w:tr>
      <w:tr w14:paraId="668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1A6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2#楼</w:t>
            </w:r>
          </w:p>
        </w:tc>
        <w:tc>
          <w:tcPr>
            <w:tcW w:w="1568" w:type="dxa"/>
            <w:vAlign w:val="center"/>
          </w:tcPr>
          <w:p w14:paraId="4B84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1090.21 </w:t>
            </w:r>
          </w:p>
        </w:tc>
        <w:tc>
          <w:tcPr>
            <w:tcW w:w="2179" w:type="dxa"/>
            <w:vAlign w:val="center"/>
          </w:tcPr>
          <w:p w14:paraId="4BE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14640.43 </w:t>
            </w:r>
          </w:p>
        </w:tc>
        <w:tc>
          <w:tcPr>
            <w:tcW w:w="2179" w:type="dxa"/>
            <w:vAlign w:val="center"/>
          </w:tcPr>
          <w:p w14:paraId="3CD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15095.78 </w:t>
            </w:r>
          </w:p>
        </w:tc>
        <w:tc>
          <w:tcPr>
            <w:tcW w:w="1528" w:type="dxa"/>
            <w:vAlign w:val="center"/>
          </w:tcPr>
          <w:p w14:paraId="37EF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7.22%</w:t>
            </w:r>
          </w:p>
        </w:tc>
        <w:tc>
          <w:tcPr>
            <w:tcW w:w="1354" w:type="dxa"/>
            <w:vAlign w:val="center"/>
          </w:tcPr>
          <w:p w14:paraId="381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96.98%</w:t>
            </w:r>
          </w:p>
        </w:tc>
      </w:tr>
      <w:tr w14:paraId="4A05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7496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3#楼</w:t>
            </w:r>
          </w:p>
        </w:tc>
        <w:tc>
          <w:tcPr>
            <w:tcW w:w="1568" w:type="dxa"/>
            <w:vAlign w:val="center"/>
          </w:tcPr>
          <w:p w14:paraId="66B1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1816.12 </w:t>
            </w:r>
          </w:p>
        </w:tc>
        <w:tc>
          <w:tcPr>
            <w:tcW w:w="2179" w:type="dxa"/>
            <w:vAlign w:val="center"/>
          </w:tcPr>
          <w:p w14:paraId="58F1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24098.48 </w:t>
            </w:r>
          </w:p>
        </w:tc>
        <w:tc>
          <w:tcPr>
            <w:tcW w:w="2179" w:type="dxa"/>
            <w:vAlign w:val="center"/>
          </w:tcPr>
          <w:p w14:paraId="7CB0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24857.03 </w:t>
            </w:r>
          </w:p>
        </w:tc>
        <w:tc>
          <w:tcPr>
            <w:tcW w:w="1528" w:type="dxa"/>
            <w:vAlign w:val="center"/>
          </w:tcPr>
          <w:p w14:paraId="075D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7.31%</w:t>
            </w:r>
          </w:p>
        </w:tc>
        <w:tc>
          <w:tcPr>
            <w:tcW w:w="1354" w:type="dxa"/>
            <w:vAlign w:val="center"/>
          </w:tcPr>
          <w:p w14:paraId="689A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96.95%</w:t>
            </w:r>
          </w:p>
        </w:tc>
      </w:tr>
      <w:tr w14:paraId="08F1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738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4#楼</w:t>
            </w:r>
          </w:p>
        </w:tc>
        <w:tc>
          <w:tcPr>
            <w:tcW w:w="1568" w:type="dxa"/>
            <w:vAlign w:val="center"/>
          </w:tcPr>
          <w:p w14:paraId="3BC8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1211.35 </w:t>
            </w:r>
          </w:p>
        </w:tc>
        <w:tc>
          <w:tcPr>
            <w:tcW w:w="2179" w:type="dxa"/>
            <w:vAlign w:val="center"/>
          </w:tcPr>
          <w:p w14:paraId="2757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16252.49 </w:t>
            </w:r>
          </w:p>
        </w:tc>
        <w:tc>
          <w:tcPr>
            <w:tcW w:w="2179" w:type="dxa"/>
            <w:vAlign w:val="center"/>
          </w:tcPr>
          <w:p w14:paraId="329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16758.44 </w:t>
            </w:r>
          </w:p>
        </w:tc>
        <w:tc>
          <w:tcPr>
            <w:tcW w:w="1528" w:type="dxa"/>
            <w:vAlign w:val="center"/>
          </w:tcPr>
          <w:p w14:paraId="2A7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7.21%</w:t>
            </w:r>
          </w:p>
        </w:tc>
        <w:tc>
          <w:tcPr>
            <w:tcW w:w="1354" w:type="dxa"/>
            <w:vAlign w:val="center"/>
          </w:tcPr>
          <w:p w14:paraId="59F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96.99%</w:t>
            </w:r>
          </w:p>
        </w:tc>
      </w:tr>
      <w:tr w14:paraId="605C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11C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</w:t>
            </w:r>
          </w:p>
        </w:tc>
        <w:tc>
          <w:tcPr>
            <w:tcW w:w="1568" w:type="dxa"/>
            <w:vAlign w:val="center"/>
          </w:tcPr>
          <w:p w14:paraId="726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852.18 </w:t>
            </w:r>
          </w:p>
        </w:tc>
        <w:tc>
          <w:tcPr>
            <w:tcW w:w="2179" w:type="dxa"/>
            <w:vAlign w:val="center"/>
          </w:tcPr>
          <w:p w14:paraId="168B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11495.40 </w:t>
            </w:r>
          </w:p>
        </w:tc>
        <w:tc>
          <w:tcPr>
            <w:tcW w:w="2179" w:type="dxa"/>
            <w:vAlign w:val="center"/>
          </w:tcPr>
          <w:p w14:paraId="488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11851.33 </w:t>
            </w:r>
          </w:p>
        </w:tc>
        <w:tc>
          <w:tcPr>
            <w:tcW w:w="1528" w:type="dxa"/>
            <w:vAlign w:val="center"/>
          </w:tcPr>
          <w:p w14:paraId="4E32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7.19%</w:t>
            </w:r>
          </w:p>
        </w:tc>
        <w:tc>
          <w:tcPr>
            <w:tcW w:w="1354" w:type="dxa"/>
            <w:vAlign w:val="center"/>
          </w:tcPr>
          <w:p w14:paraId="043C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97.00%</w:t>
            </w:r>
          </w:p>
        </w:tc>
      </w:tr>
      <w:tr w14:paraId="47D3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07E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6#楼</w:t>
            </w:r>
          </w:p>
        </w:tc>
        <w:tc>
          <w:tcPr>
            <w:tcW w:w="1568" w:type="dxa"/>
            <w:vAlign w:val="center"/>
          </w:tcPr>
          <w:p w14:paraId="4F1C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726.81 </w:t>
            </w:r>
          </w:p>
        </w:tc>
        <w:tc>
          <w:tcPr>
            <w:tcW w:w="2179" w:type="dxa"/>
            <w:vAlign w:val="center"/>
          </w:tcPr>
          <w:p w14:paraId="7208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9804.24 </w:t>
            </w:r>
          </w:p>
        </w:tc>
        <w:tc>
          <w:tcPr>
            <w:tcW w:w="2179" w:type="dxa"/>
            <w:vAlign w:val="center"/>
          </w:tcPr>
          <w:p w14:paraId="58B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10107.81 </w:t>
            </w:r>
          </w:p>
        </w:tc>
        <w:tc>
          <w:tcPr>
            <w:tcW w:w="1528" w:type="dxa"/>
            <w:vAlign w:val="center"/>
          </w:tcPr>
          <w:p w14:paraId="2A6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7.21%</w:t>
            </w:r>
          </w:p>
        </w:tc>
        <w:tc>
          <w:tcPr>
            <w:tcW w:w="1354" w:type="dxa"/>
            <w:vAlign w:val="center"/>
          </w:tcPr>
          <w:p w14:paraId="5A93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96.99%</w:t>
            </w:r>
          </w:p>
        </w:tc>
      </w:tr>
      <w:tr w14:paraId="2091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18F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7#楼</w:t>
            </w:r>
          </w:p>
        </w:tc>
        <w:tc>
          <w:tcPr>
            <w:tcW w:w="1568" w:type="dxa"/>
            <w:vAlign w:val="center"/>
          </w:tcPr>
          <w:p w14:paraId="0320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545.11 </w:t>
            </w:r>
          </w:p>
        </w:tc>
        <w:tc>
          <w:tcPr>
            <w:tcW w:w="2179" w:type="dxa"/>
            <w:vAlign w:val="center"/>
          </w:tcPr>
          <w:p w14:paraId="74E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7260.22 </w:t>
            </w:r>
          </w:p>
        </w:tc>
        <w:tc>
          <w:tcPr>
            <w:tcW w:w="2179" w:type="dxa"/>
            <w:vAlign w:val="center"/>
          </w:tcPr>
          <w:p w14:paraId="2BD0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7487.89 </w:t>
            </w:r>
          </w:p>
        </w:tc>
        <w:tc>
          <w:tcPr>
            <w:tcW w:w="1528" w:type="dxa"/>
            <w:vAlign w:val="center"/>
          </w:tcPr>
          <w:p w14:paraId="5A47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7.28%</w:t>
            </w:r>
          </w:p>
        </w:tc>
        <w:tc>
          <w:tcPr>
            <w:tcW w:w="1354" w:type="dxa"/>
            <w:vAlign w:val="center"/>
          </w:tcPr>
          <w:p w14:paraId="6959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96.96%</w:t>
            </w:r>
          </w:p>
        </w:tc>
      </w:tr>
      <w:tr w14:paraId="571F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0001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8#楼</w:t>
            </w:r>
          </w:p>
        </w:tc>
        <w:tc>
          <w:tcPr>
            <w:tcW w:w="1568" w:type="dxa"/>
            <w:vAlign w:val="center"/>
          </w:tcPr>
          <w:p w14:paraId="5A1F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1816.12 </w:t>
            </w:r>
          </w:p>
        </w:tc>
        <w:tc>
          <w:tcPr>
            <w:tcW w:w="2179" w:type="dxa"/>
            <w:vAlign w:val="center"/>
          </w:tcPr>
          <w:p w14:paraId="093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24098.48 </w:t>
            </w:r>
          </w:p>
        </w:tc>
        <w:tc>
          <w:tcPr>
            <w:tcW w:w="2179" w:type="dxa"/>
            <w:vAlign w:val="center"/>
          </w:tcPr>
          <w:p w14:paraId="3097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24857.03 </w:t>
            </w:r>
          </w:p>
        </w:tc>
        <w:tc>
          <w:tcPr>
            <w:tcW w:w="1528" w:type="dxa"/>
            <w:vAlign w:val="center"/>
          </w:tcPr>
          <w:p w14:paraId="14C8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7.31%</w:t>
            </w:r>
          </w:p>
        </w:tc>
        <w:tc>
          <w:tcPr>
            <w:tcW w:w="1354" w:type="dxa"/>
            <w:vAlign w:val="center"/>
          </w:tcPr>
          <w:p w14:paraId="409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96.95%</w:t>
            </w:r>
          </w:p>
        </w:tc>
      </w:tr>
      <w:tr w14:paraId="3FBC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1EEA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9#楼</w:t>
            </w:r>
          </w:p>
        </w:tc>
        <w:tc>
          <w:tcPr>
            <w:tcW w:w="1568" w:type="dxa"/>
            <w:vAlign w:val="center"/>
          </w:tcPr>
          <w:p w14:paraId="451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726.81 </w:t>
            </w:r>
          </w:p>
        </w:tc>
        <w:tc>
          <w:tcPr>
            <w:tcW w:w="2179" w:type="dxa"/>
            <w:vAlign w:val="center"/>
          </w:tcPr>
          <w:p w14:paraId="6A9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9804.24 </w:t>
            </w:r>
          </w:p>
        </w:tc>
        <w:tc>
          <w:tcPr>
            <w:tcW w:w="2179" w:type="dxa"/>
            <w:vAlign w:val="center"/>
          </w:tcPr>
          <w:p w14:paraId="6AD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10107.81 </w:t>
            </w:r>
          </w:p>
        </w:tc>
        <w:tc>
          <w:tcPr>
            <w:tcW w:w="1528" w:type="dxa"/>
            <w:vAlign w:val="center"/>
          </w:tcPr>
          <w:p w14:paraId="132C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7.21%</w:t>
            </w:r>
          </w:p>
        </w:tc>
        <w:tc>
          <w:tcPr>
            <w:tcW w:w="1354" w:type="dxa"/>
            <w:vAlign w:val="center"/>
          </w:tcPr>
          <w:p w14:paraId="1C7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96.99%</w:t>
            </w:r>
          </w:p>
        </w:tc>
      </w:tr>
      <w:tr w14:paraId="6963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8" w:type="dxa"/>
            <w:vAlign w:val="center"/>
          </w:tcPr>
          <w:p w14:paraId="24F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地下车库</w:t>
            </w:r>
          </w:p>
        </w:tc>
        <w:tc>
          <w:tcPr>
            <w:tcW w:w="1568" w:type="dxa"/>
            <w:vAlign w:val="center"/>
          </w:tcPr>
          <w:p w14:paraId="3B0B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2670.24 </w:t>
            </w:r>
          </w:p>
        </w:tc>
        <w:tc>
          <w:tcPr>
            <w:tcW w:w="2179" w:type="dxa"/>
            <w:vAlign w:val="center"/>
          </w:tcPr>
          <w:p w14:paraId="017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34193.82 </w:t>
            </w:r>
          </w:p>
        </w:tc>
        <w:tc>
          <w:tcPr>
            <w:tcW w:w="2179" w:type="dxa"/>
            <w:vAlign w:val="center"/>
          </w:tcPr>
          <w:p w14:paraId="754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35306.90 </w:t>
            </w:r>
          </w:p>
        </w:tc>
        <w:tc>
          <w:tcPr>
            <w:tcW w:w="1528" w:type="dxa"/>
            <w:vAlign w:val="center"/>
          </w:tcPr>
          <w:p w14:paraId="2EE4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7.56%</w:t>
            </w:r>
          </w:p>
        </w:tc>
        <w:tc>
          <w:tcPr>
            <w:tcW w:w="1354" w:type="dxa"/>
            <w:vAlign w:val="center"/>
          </w:tcPr>
          <w:p w14:paraId="08A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96.85%</w:t>
            </w:r>
          </w:p>
        </w:tc>
      </w:tr>
      <w:tr w14:paraId="40C1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68" w:type="dxa"/>
            <w:vAlign w:val="center"/>
          </w:tcPr>
          <w:p w14:paraId="76C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68" w:type="dxa"/>
            <w:vAlign w:val="center"/>
          </w:tcPr>
          <w:p w14:paraId="42F1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12545.16</w:t>
            </w:r>
          </w:p>
        </w:tc>
        <w:tc>
          <w:tcPr>
            <w:tcW w:w="2179" w:type="dxa"/>
            <w:vAlign w:val="center"/>
          </w:tcPr>
          <w:p w14:paraId="0D54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166288.23</w:t>
            </w:r>
          </w:p>
        </w:tc>
        <w:tc>
          <w:tcPr>
            <w:tcW w:w="2179" w:type="dxa"/>
            <w:vAlign w:val="center"/>
          </w:tcPr>
          <w:p w14:paraId="6DF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171525.8</w:t>
            </w:r>
            <w:bookmarkEnd w:id="3"/>
          </w:p>
        </w:tc>
        <w:tc>
          <w:tcPr>
            <w:tcW w:w="1528" w:type="dxa"/>
            <w:vAlign w:val="center"/>
          </w:tcPr>
          <w:p w14:paraId="132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7.31%</w:t>
            </w:r>
          </w:p>
        </w:tc>
        <w:tc>
          <w:tcPr>
            <w:tcW w:w="1354" w:type="dxa"/>
            <w:vAlign w:val="center"/>
          </w:tcPr>
          <w:p w14:paraId="2BF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96.95%</w:t>
            </w:r>
          </w:p>
        </w:tc>
      </w:tr>
    </w:tbl>
    <w:p w14:paraId="39A4A321">
      <w:pPr>
        <w:spacing w:afterLines="5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AAF63E8">
      <w:pPr>
        <w:spacing w:afterLines="5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通过上述计算，本项目本地材料总重量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用量比例为96.94%，高于70%，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满足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7.1.10条控制项的要求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 w14:paraId="4FA5D555">
      <w:pPr>
        <w:spacing w:afterLines="50" w:line="36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可循环利用材料重量比例为7.32%，高于6%，满足7.2.17条评分得3分的要求。</w:t>
      </w:r>
    </w:p>
    <w:p w14:paraId="36C45C14">
      <w:pPr>
        <w:spacing w:afterLines="5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021" w:bottom="144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8B43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D25864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7B58">
    <w:pPr>
      <w:pStyle w:val="7"/>
      <w:pBdr>
        <w:bottom w:val="none" w:color="auto" w:sz="0" w:space="0"/>
      </w:pBdr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F89BC"/>
    <w:multiLevelType w:val="singleLevel"/>
    <w:tmpl w:val="845F89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DA1Nzk0NGVjNmJiZTY3OGU5ZTUzODlkOTU4M2UifQ=="/>
  </w:docVars>
  <w:rsids>
    <w:rsidRoot w:val="009D104C"/>
    <w:rsid w:val="000004DD"/>
    <w:rsid w:val="00002492"/>
    <w:rsid w:val="00003AC2"/>
    <w:rsid w:val="000130FE"/>
    <w:rsid w:val="00020068"/>
    <w:rsid w:val="000333F5"/>
    <w:rsid w:val="0003341F"/>
    <w:rsid w:val="00037967"/>
    <w:rsid w:val="00052CB1"/>
    <w:rsid w:val="00055318"/>
    <w:rsid w:val="00055687"/>
    <w:rsid w:val="0005723A"/>
    <w:rsid w:val="000612FA"/>
    <w:rsid w:val="00062FCF"/>
    <w:rsid w:val="0006485B"/>
    <w:rsid w:val="000711FB"/>
    <w:rsid w:val="00083290"/>
    <w:rsid w:val="000852F3"/>
    <w:rsid w:val="000A36A9"/>
    <w:rsid w:val="000B51FF"/>
    <w:rsid w:val="000B6782"/>
    <w:rsid w:val="000D4DB4"/>
    <w:rsid w:val="000D5234"/>
    <w:rsid w:val="000E0BDF"/>
    <w:rsid w:val="000F06D5"/>
    <w:rsid w:val="00122D91"/>
    <w:rsid w:val="0012688F"/>
    <w:rsid w:val="00130F76"/>
    <w:rsid w:val="00142426"/>
    <w:rsid w:val="00154D60"/>
    <w:rsid w:val="00160694"/>
    <w:rsid w:val="00171A2A"/>
    <w:rsid w:val="00173BCD"/>
    <w:rsid w:val="0019163D"/>
    <w:rsid w:val="001A0C24"/>
    <w:rsid w:val="001A1FBF"/>
    <w:rsid w:val="001A33A4"/>
    <w:rsid w:val="001B0B32"/>
    <w:rsid w:val="001B0C8E"/>
    <w:rsid w:val="001B3A5A"/>
    <w:rsid w:val="001C400C"/>
    <w:rsid w:val="001D3609"/>
    <w:rsid w:val="001F0923"/>
    <w:rsid w:val="001F5669"/>
    <w:rsid w:val="001F777F"/>
    <w:rsid w:val="00201234"/>
    <w:rsid w:val="002155BD"/>
    <w:rsid w:val="002162EE"/>
    <w:rsid w:val="00217B35"/>
    <w:rsid w:val="00226EDA"/>
    <w:rsid w:val="00227EA3"/>
    <w:rsid w:val="00241D7A"/>
    <w:rsid w:val="002447CF"/>
    <w:rsid w:val="00244E1D"/>
    <w:rsid w:val="00265103"/>
    <w:rsid w:val="002710CD"/>
    <w:rsid w:val="00291992"/>
    <w:rsid w:val="002A483A"/>
    <w:rsid w:val="002A6F9C"/>
    <w:rsid w:val="002B56BE"/>
    <w:rsid w:val="002B6182"/>
    <w:rsid w:val="002C0813"/>
    <w:rsid w:val="002D3D8B"/>
    <w:rsid w:val="002D789C"/>
    <w:rsid w:val="002E0E28"/>
    <w:rsid w:val="002E3D37"/>
    <w:rsid w:val="002F6BB4"/>
    <w:rsid w:val="00302BF8"/>
    <w:rsid w:val="00303A50"/>
    <w:rsid w:val="003041D9"/>
    <w:rsid w:val="0031078F"/>
    <w:rsid w:val="00310CF2"/>
    <w:rsid w:val="003151EF"/>
    <w:rsid w:val="00316BB6"/>
    <w:rsid w:val="003209A5"/>
    <w:rsid w:val="003257A2"/>
    <w:rsid w:val="00326447"/>
    <w:rsid w:val="00334947"/>
    <w:rsid w:val="00345756"/>
    <w:rsid w:val="00351F9E"/>
    <w:rsid w:val="003540C2"/>
    <w:rsid w:val="003607F4"/>
    <w:rsid w:val="00366D07"/>
    <w:rsid w:val="003702DB"/>
    <w:rsid w:val="00371698"/>
    <w:rsid w:val="00374F8D"/>
    <w:rsid w:val="00374FFD"/>
    <w:rsid w:val="00375245"/>
    <w:rsid w:val="00393BDD"/>
    <w:rsid w:val="003A30AA"/>
    <w:rsid w:val="003A414E"/>
    <w:rsid w:val="003A63E5"/>
    <w:rsid w:val="003B27DA"/>
    <w:rsid w:val="003B5A59"/>
    <w:rsid w:val="003C1BD2"/>
    <w:rsid w:val="003C66C5"/>
    <w:rsid w:val="003C6DD5"/>
    <w:rsid w:val="003C7642"/>
    <w:rsid w:val="003D7B59"/>
    <w:rsid w:val="003E0A50"/>
    <w:rsid w:val="003F0C4A"/>
    <w:rsid w:val="003F6589"/>
    <w:rsid w:val="004061AA"/>
    <w:rsid w:val="00421193"/>
    <w:rsid w:val="0042146A"/>
    <w:rsid w:val="00422A62"/>
    <w:rsid w:val="0042599F"/>
    <w:rsid w:val="00437FCA"/>
    <w:rsid w:val="00442AA4"/>
    <w:rsid w:val="004436CE"/>
    <w:rsid w:val="004501D6"/>
    <w:rsid w:val="004506E3"/>
    <w:rsid w:val="00460E72"/>
    <w:rsid w:val="00480109"/>
    <w:rsid w:val="00487B08"/>
    <w:rsid w:val="004A63EF"/>
    <w:rsid w:val="004A6E5C"/>
    <w:rsid w:val="004B28AB"/>
    <w:rsid w:val="004C0D50"/>
    <w:rsid w:val="004D137A"/>
    <w:rsid w:val="004D5AB3"/>
    <w:rsid w:val="004E5AB8"/>
    <w:rsid w:val="004F2FE7"/>
    <w:rsid w:val="00524775"/>
    <w:rsid w:val="005416EE"/>
    <w:rsid w:val="0054502A"/>
    <w:rsid w:val="005450AD"/>
    <w:rsid w:val="00550251"/>
    <w:rsid w:val="005538CA"/>
    <w:rsid w:val="005641C7"/>
    <w:rsid w:val="005642CD"/>
    <w:rsid w:val="005664D6"/>
    <w:rsid w:val="005756DA"/>
    <w:rsid w:val="00584900"/>
    <w:rsid w:val="00593478"/>
    <w:rsid w:val="005A480A"/>
    <w:rsid w:val="005A53DE"/>
    <w:rsid w:val="005B4B83"/>
    <w:rsid w:val="005C00FF"/>
    <w:rsid w:val="005C71A4"/>
    <w:rsid w:val="005E3823"/>
    <w:rsid w:val="005E4D3D"/>
    <w:rsid w:val="005F5B29"/>
    <w:rsid w:val="0060245F"/>
    <w:rsid w:val="00603BB1"/>
    <w:rsid w:val="006122FA"/>
    <w:rsid w:val="00613213"/>
    <w:rsid w:val="00625D9F"/>
    <w:rsid w:val="00636718"/>
    <w:rsid w:val="006402DB"/>
    <w:rsid w:val="00643077"/>
    <w:rsid w:val="00643CE7"/>
    <w:rsid w:val="0064519C"/>
    <w:rsid w:val="00646054"/>
    <w:rsid w:val="00647D2D"/>
    <w:rsid w:val="00651576"/>
    <w:rsid w:val="00663A69"/>
    <w:rsid w:val="00672E00"/>
    <w:rsid w:val="00683932"/>
    <w:rsid w:val="00683F08"/>
    <w:rsid w:val="0069208F"/>
    <w:rsid w:val="00694051"/>
    <w:rsid w:val="00697E39"/>
    <w:rsid w:val="006A0BDF"/>
    <w:rsid w:val="006A4444"/>
    <w:rsid w:val="006A5975"/>
    <w:rsid w:val="006A7CCD"/>
    <w:rsid w:val="006B2D17"/>
    <w:rsid w:val="006B50B4"/>
    <w:rsid w:val="006C0D4D"/>
    <w:rsid w:val="006D19A3"/>
    <w:rsid w:val="006D2201"/>
    <w:rsid w:val="006E6385"/>
    <w:rsid w:val="006E6BDD"/>
    <w:rsid w:val="006F02A3"/>
    <w:rsid w:val="006F382E"/>
    <w:rsid w:val="006F575A"/>
    <w:rsid w:val="00704083"/>
    <w:rsid w:val="00704288"/>
    <w:rsid w:val="007155EC"/>
    <w:rsid w:val="00716107"/>
    <w:rsid w:val="007165FE"/>
    <w:rsid w:val="00717934"/>
    <w:rsid w:val="0072621D"/>
    <w:rsid w:val="00734253"/>
    <w:rsid w:val="007600CB"/>
    <w:rsid w:val="00764129"/>
    <w:rsid w:val="00780E9B"/>
    <w:rsid w:val="00786F5F"/>
    <w:rsid w:val="00790110"/>
    <w:rsid w:val="007948EE"/>
    <w:rsid w:val="007A106E"/>
    <w:rsid w:val="007B25A5"/>
    <w:rsid w:val="007B2CC7"/>
    <w:rsid w:val="007B4AD0"/>
    <w:rsid w:val="007E29BD"/>
    <w:rsid w:val="007E57FC"/>
    <w:rsid w:val="007F1438"/>
    <w:rsid w:val="007F7991"/>
    <w:rsid w:val="0081396F"/>
    <w:rsid w:val="00824AE6"/>
    <w:rsid w:val="0082557D"/>
    <w:rsid w:val="00831552"/>
    <w:rsid w:val="00833FF8"/>
    <w:rsid w:val="0083430A"/>
    <w:rsid w:val="00836BE7"/>
    <w:rsid w:val="0085087C"/>
    <w:rsid w:val="00857249"/>
    <w:rsid w:val="00861D02"/>
    <w:rsid w:val="00865E85"/>
    <w:rsid w:val="00884DB1"/>
    <w:rsid w:val="00887CD3"/>
    <w:rsid w:val="00891EC8"/>
    <w:rsid w:val="008944BB"/>
    <w:rsid w:val="00895402"/>
    <w:rsid w:val="00896612"/>
    <w:rsid w:val="008A73B5"/>
    <w:rsid w:val="008B42C4"/>
    <w:rsid w:val="008B7D62"/>
    <w:rsid w:val="008B7F78"/>
    <w:rsid w:val="008D3019"/>
    <w:rsid w:val="008D7E31"/>
    <w:rsid w:val="008F3565"/>
    <w:rsid w:val="00902497"/>
    <w:rsid w:val="00942D1D"/>
    <w:rsid w:val="00951F2B"/>
    <w:rsid w:val="00952F8D"/>
    <w:rsid w:val="00953769"/>
    <w:rsid w:val="00956E53"/>
    <w:rsid w:val="009634FF"/>
    <w:rsid w:val="00966E19"/>
    <w:rsid w:val="00966FD4"/>
    <w:rsid w:val="00983FA8"/>
    <w:rsid w:val="00990BB3"/>
    <w:rsid w:val="009910E3"/>
    <w:rsid w:val="009923F7"/>
    <w:rsid w:val="00993DD7"/>
    <w:rsid w:val="009A0A67"/>
    <w:rsid w:val="009B1957"/>
    <w:rsid w:val="009B3E3A"/>
    <w:rsid w:val="009C09A4"/>
    <w:rsid w:val="009C619E"/>
    <w:rsid w:val="009D104C"/>
    <w:rsid w:val="009D1196"/>
    <w:rsid w:val="009D639C"/>
    <w:rsid w:val="009D65DF"/>
    <w:rsid w:val="009E0D9D"/>
    <w:rsid w:val="009E4736"/>
    <w:rsid w:val="009F4061"/>
    <w:rsid w:val="009F44F7"/>
    <w:rsid w:val="009F59F3"/>
    <w:rsid w:val="00A02931"/>
    <w:rsid w:val="00A078A5"/>
    <w:rsid w:val="00A25668"/>
    <w:rsid w:val="00A358BA"/>
    <w:rsid w:val="00A44B03"/>
    <w:rsid w:val="00A45500"/>
    <w:rsid w:val="00A45BC7"/>
    <w:rsid w:val="00A52985"/>
    <w:rsid w:val="00A55908"/>
    <w:rsid w:val="00A612B7"/>
    <w:rsid w:val="00A76AF3"/>
    <w:rsid w:val="00A772F5"/>
    <w:rsid w:val="00A776F3"/>
    <w:rsid w:val="00A82ADC"/>
    <w:rsid w:val="00A8638E"/>
    <w:rsid w:val="00A871D3"/>
    <w:rsid w:val="00A902EA"/>
    <w:rsid w:val="00A927C8"/>
    <w:rsid w:val="00A93544"/>
    <w:rsid w:val="00AA1BB7"/>
    <w:rsid w:val="00AA21C7"/>
    <w:rsid w:val="00AA71BE"/>
    <w:rsid w:val="00AB3557"/>
    <w:rsid w:val="00AC1F95"/>
    <w:rsid w:val="00AC3E9A"/>
    <w:rsid w:val="00AD3102"/>
    <w:rsid w:val="00AE3E87"/>
    <w:rsid w:val="00AE6491"/>
    <w:rsid w:val="00AE7E9A"/>
    <w:rsid w:val="00AF0415"/>
    <w:rsid w:val="00AF635E"/>
    <w:rsid w:val="00B06417"/>
    <w:rsid w:val="00B12B7F"/>
    <w:rsid w:val="00B20AB8"/>
    <w:rsid w:val="00B26A2D"/>
    <w:rsid w:val="00B30C6B"/>
    <w:rsid w:val="00B31F59"/>
    <w:rsid w:val="00B37B1D"/>
    <w:rsid w:val="00B42C1D"/>
    <w:rsid w:val="00B516FE"/>
    <w:rsid w:val="00B53C57"/>
    <w:rsid w:val="00B7500F"/>
    <w:rsid w:val="00B8135D"/>
    <w:rsid w:val="00B81384"/>
    <w:rsid w:val="00B85B5C"/>
    <w:rsid w:val="00B9341F"/>
    <w:rsid w:val="00BA5CF8"/>
    <w:rsid w:val="00BB0A31"/>
    <w:rsid w:val="00BB1C6A"/>
    <w:rsid w:val="00BC528D"/>
    <w:rsid w:val="00BC7B54"/>
    <w:rsid w:val="00BD1242"/>
    <w:rsid w:val="00BD5FAE"/>
    <w:rsid w:val="00BD7824"/>
    <w:rsid w:val="00BD79AF"/>
    <w:rsid w:val="00BE37B4"/>
    <w:rsid w:val="00BE62C8"/>
    <w:rsid w:val="00C1229E"/>
    <w:rsid w:val="00C127F3"/>
    <w:rsid w:val="00C17EAA"/>
    <w:rsid w:val="00C22757"/>
    <w:rsid w:val="00C26400"/>
    <w:rsid w:val="00C27A5C"/>
    <w:rsid w:val="00C315A5"/>
    <w:rsid w:val="00C400BB"/>
    <w:rsid w:val="00C4430F"/>
    <w:rsid w:val="00C51955"/>
    <w:rsid w:val="00C56422"/>
    <w:rsid w:val="00C746E7"/>
    <w:rsid w:val="00C80CC5"/>
    <w:rsid w:val="00C848CF"/>
    <w:rsid w:val="00CA1293"/>
    <w:rsid w:val="00CA2710"/>
    <w:rsid w:val="00CA2BA6"/>
    <w:rsid w:val="00CA6617"/>
    <w:rsid w:val="00CB0C93"/>
    <w:rsid w:val="00CD3B96"/>
    <w:rsid w:val="00CD7A02"/>
    <w:rsid w:val="00CF27F3"/>
    <w:rsid w:val="00CF2ECF"/>
    <w:rsid w:val="00D04992"/>
    <w:rsid w:val="00D0531C"/>
    <w:rsid w:val="00D354F0"/>
    <w:rsid w:val="00D3599A"/>
    <w:rsid w:val="00D5121C"/>
    <w:rsid w:val="00D51594"/>
    <w:rsid w:val="00D56CA3"/>
    <w:rsid w:val="00D57497"/>
    <w:rsid w:val="00D6539C"/>
    <w:rsid w:val="00D66824"/>
    <w:rsid w:val="00D84825"/>
    <w:rsid w:val="00D917CA"/>
    <w:rsid w:val="00DA347F"/>
    <w:rsid w:val="00DA4C79"/>
    <w:rsid w:val="00DA673E"/>
    <w:rsid w:val="00DC2742"/>
    <w:rsid w:val="00DD07DD"/>
    <w:rsid w:val="00DD3EEF"/>
    <w:rsid w:val="00DE02FD"/>
    <w:rsid w:val="00DE11B8"/>
    <w:rsid w:val="00DE672B"/>
    <w:rsid w:val="00DF55D8"/>
    <w:rsid w:val="00DF64AF"/>
    <w:rsid w:val="00DF6EA6"/>
    <w:rsid w:val="00E034D1"/>
    <w:rsid w:val="00E05A25"/>
    <w:rsid w:val="00E11904"/>
    <w:rsid w:val="00E22A5B"/>
    <w:rsid w:val="00E3424E"/>
    <w:rsid w:val="00E364ED"/>
    <w:rsid w:val="00E37560"/>
    <w:rsid w:val="00E416CE"/>
    <w:rsid w:val="00E4496B"/>
    <w:rsid w:val="00E53BCD"/>
    <w:rsid w:val="00E646E3"/>
    <w:rsid w:val="00E6797F"/>
    <w:rsid w:val="00E75739"/>
    <w:rsid w:val="00E87ACB"/>
    <w:rsid w:val="00EA36F5"/>
    <w:rsid w:val="00EB2413"/>
    <w:rsid w:val="00EB71F2"/>
    <w:rsid w:val="00ED653C"/>
    <w:rsid w:val="00F17402"/>
    <w:rsid w:val="00F2307C"/>
    <w:rsid w:val="00F276C9"/>
    <w:rsid w:val="00F312AD"/>
    <w:rsid w:val="00F3710E"/>
    <w:rsid w:val="00F3772C"/>
    <w:rsid w:val="00F37C3C"/>
    <w:rsid w:val="00F53BBB"/>
    <w:rsid w:val="00F61612"/>
    <w:rsid w:val="00F636DE"/>
    <w:rsid w:val="00F6528F"/>
    <w:rsid w:val="00F65A94"/>
    <w:rsid w:val="00F67358"/>
    <w:rsid w:val="00F714EE"/>
    <w:rsid w:val="00F77F82"/>
    <w:rsid w:val="00F82DD6"/>
    <w:rsid w:val="00F85144"/>
    <w:rsid w:val="00F87839"/>
    <w:rsid w:val="00F90F5F"/>
    <w:rsid w:val="00F91142"/>
    <w:rsid w:val="00FA6D1F"/>
    <w:rsid w:val="00FA74A7"/>
    <w:rsid w:val="00FC650B"/>
    <w:rsid w:val="00FE51A7"/>
    <w:rsid w:val="00FE6444"/>
    <w:rsid w:val="022C24DE"/>
    <w:rsid w:val="03CE5BCF"/>
    <w:rsid w:val="03D748DC"/>
    <w:rsid w:val="047454E1"/>
    <w:rsid w:val="04B109B1"/>
    <w:rsid w:val="07146D98"/>
    <w:rsid w:val="0A832FA0"/>
    <w:rsid w:val="0E772D33"/>
    <w:rsid w:val="0F346792"/>
    <w:rsid w:val="0F634F1B"/>
    <w:rsid w:val="118E036B"/>
    <w:rsid w:val="1203367E"/>
    <w:rsid w:val="132C0590"/>
    <w:rsid w:val="136C2946"/>
    <w:rsid w:val="139E58C9"/>
    <w:rsid w:val="14902282"/>
    <w:rsid w:val="152039CA"/>
    <w:rsid w:val="15942AA6"/>
    <w:rsid w:val="15FC00CC"/>
    <w:rsid w:val="16174E9A"/>
    <w:rsid w:val="164374DF"/>
    <w:rsid w:val="16CA6972"/>
    <w:rsid w:val="19E76616"/>
    <w:rsid w:val="1B7D5840"/>
    <w:rsid w:val="1BFF56EC"/>
    <w:rsid w:val="1E7D3BDD"/>
    <w:rsid w:val="205C7FDB"/>
    <w:rsid w:val="21AC1A8F"/>
    <w:rsid w:val="224D4638"/>
    <w:rsid w:val="22DF60B5"/>
    <w:rsid w:val="23483849"/>
    <w:rsid w:val="24A66501"/>
    <w:rsid w:val="24D17D59"/>
    <w:rsid w:val="26525DE2"/>
    <w:rsid w:val="269E4B61"/>
    <w:rsid w:val="27263265"/>
    <w:rsid w:val="287A56E5"/>
    <w:rsid w:val="28BC5ABB"/>
    <w:rsid w:val="28F675EE"/>
    <w:rsid w:val="2B053749"/>
    <w:rsid w:val="2B98763F"/>
    <w:rsid w:val="2BAD2596"/>
    <w:rsid w:val="2C057779"/>
    <w:rsid w:val="2E39541B"/>
    <w:rsid w:val="2E8A7953"/>
    <w:rsid w:val="2F44049C"/>
    <w:rsid w:val="2FF34678"/>
    <w:rsid w:val="2FFA75D6"/>
    <w:rsid w:val="30BD6874"/>
    <w:rsid w:val="30BE0263"/>
    <w:rsid w:val="316867E0"/>
    <w:rsid w:val="31E178DF"/>
    <w:rsid w:val="32144391"/>
    <w:rsid w:val="34297C85"/>
    <w:rsid w:val="354B444E"/>
    <w:rsid w:val="361A1A77"/>
    <w:rsid w:val="364912D2"/>
    <w:rsid w:val="36B47283"/>
    <w:rsid w:val="39E6616C"/>
    <w:rsid w:val="3A044C60"/>
    <w:rsid w:val="3A297FB5"/>
    <w:rsid w:val="3A5D305A"/>
    <w:rsid w:val="3AD922BB"/>
    <w:rsid w:val="3BA93E49"/>
    <w:rsid w:val="3C074556"/>
    <w:rsid w:val="3E5F0D5E"/>
    <w:rsid w:val="3F0A2F90"/>
    <w:rsid w:val="3FBA2F35"/>
    <w:rsid w:val="40C969F5"/>
    <w:rsid w:val="41A2478F"/>
    <w:rsid w:val="41EE3039"/>
    <w:rsid w:val="42810C05"/>
    <w:rsid w:val="43C27FD1"/>
    <w:rsid w:val="45E77923"/>
    <w:rsid w:val="46011D01"/>
    <w:rsid w:val="4605723A"/>
    <w:rsid w:val="4A7B2CA2"/>
    <w:rsid w:val="4ADC7C37"/>
    <w:rsid w:val="4B167887"/>
    <w:rsid w:val="4B5F5D01"/>
    <w:rsid w:val="4C59349D"/>
    <w:rsid w:val="4CC34DE6"/>
    <w:rsid w:val="4D4E28D6"/>
    <w:rsid w:val="4DAD0D28"/>
    <w:rsid w:val="4E2E44B5"/>
    <w:rsid w:val="4F103A06"/>
    <w:rsid w:val="4F420045"/>
    <w:rsid w:val="4F5A5889"/>
    <w:rsid w:val="4F895E47"/>
    <w:rsid w:val="4FED4628"/>
    <w:rsid w:val="4FFE4E26"/>
    <w:rsid w:val="500E5423"/>
    <w:rsid w:val="50FC089B"/>
    <w:rsid w:val="51480C8C"/>
    <w:rsid w:val="52375857"/>
    <w:rsid w:val="52AE056C"/>
    <w:rsid w:val="52C802CC"/>
    <w:rsid w:val="53E06252"/>
    <w:rsid w:val="54225086"/>
    <w:rsid w:val="54EA30F9"/>
    <w:rsid w:val="57415259"/>
    <w:rsid w:val="579A30C2"/>
    <w:rsid w:val="57E41321"/>
    <w:rsid w:val="597A1156"/>
    <w:rsid w:val="5CFC25B3"/>
    <w:rsid w:val="5E3C2852"/>
    <w:rsid w:val="5F392750"/>
    <w:rsid w:val="5F7D7418"/>
    <w:rsid w:val="606D1848"/>
    <w:rsid w:val="60C211B9"/>
    <w:rsid w:val="60C946D3"/>
    <w:rsid w:val="610F7243"/>
    <w:rsid w:val="61447B00"/>
    <w:rsid w:val="622C3BB7"/>
    <w:rsid w:val="644F7208"/>
    <w:rsid w:val="645760BC"/>
    <w:rsid w:val="645C36D2"/>
    <w:rsid w:val="64DF028B"/>
    <w:rsid w:val="67B6759E"/>
    <w:rsid w:val="693A70A7"/>
    <w:rsid w:val="697F4E1D"/>
    <w:rsid w:val="69D26356"/>
    <w:rsid w:val="6AB53B3C"/>
    <w:rsid w:val="6B257426"/>
    <w:rsid w:val="6B8451EB"/>
    <w:rsid w:val="6E6F5286"/>
    <w:rsid w:val="70D913E0"/>
    <w:rsid w:val="7181408B"/>
    <w:rsid w:val="725D5B02"/>
    <w:rsid w:val="732A3CB7"/>
    <w:rsid w:val="7428537F"/>
    <w:rsid w:val="745C3C0D"/>
    <w:rsid w:val="74717F4C"/>
    <w:rsid w:val="75305A6D"/>
    <w:rsid w:val="75E14DAC"/>
    <w:rsid w:val="76EC4493"/>
    <w:rsid w:val="77764653"/>
    <w:rsid w:val="78364649"/>
    <w:rsid w:val="795B003C"/>
    <w:rsid w:val="7BE51799"/>
    <w:rsid w:val="7C7B02F6"/>
    <w:rsid w:val="7CB507A6"/>
    <w:rsid w:val="7CE34AF1"/>
    <w:rsid w:val="7CEE02A8"/>
    <w:rsid w:val="7CF82E4E"/>
    <w:rsid w:val="7DC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jc w:val="left"/>
    </w:pPr>
    <w:rPr>
      <w:rFonts w:ascii="新宋体" w:eastAsia="新宋体"/>
      <w:sz w:val="28"/>
      <w:szCs w:val="24"/>
      <w:lang w:val="zh-CN"/>
    </w:rPr>
  </w:style>
  <w:style w:type="paragraph" w:styleId="4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5">
    <w:name w:val="Balloon Text"/>
    <w:basedOn w:val="1"/>
    <w:link w:val="4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unhideWhenUsed/>
    <w:qFormat/>
    <w:uiPriority w:val="99"/>
    <w:pPr>
      <w:ind w:firstLine="42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占位符文本1"/>
    <w:basedOn w:val="12"/>
    <w:semiHidden/>
    <w:qFormat/>
    <w:uiPriority w:val="99"/>
    <w:rPr>
      <w:color w:val="808080"/>
    </w:rPr>
  </w:style>
  <w:style w:type="character" w:customStyle="1" w:styleId="4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41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42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43">
    <w:name w:val="font0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character" w:customStyle="1" w:styleId="44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4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table" w:customStyle="1" w:styleId="46">
    <w:name w:val="普通表格2"/>
    <w:basedOn w:val="10"/>
    <w:qFormat/>
    <w:uiPriority w:val="0"/>
    <w:pPr>
      <w:jc w:val="center"/>
    </w:p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customStyle="1" w:styleId="47">
    <w:name w:val="网格型1"/>
    <w:basedOn w:val="10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9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50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1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6C89-0572-4C2B-AD55-CEF157C4F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837</Words>
  <Characters>1013</Characters>
  <Lines>7</Lines>
  <Paragraphs>2</Paragraphs>
  <TotalTime>0</TotalTime>
  <ScaleCrop>false</ScaleCrop>
  <LinksUpToDate>false</LinksUpToDate>
  <CharactersWithSpaces>1057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2020-07-13T06:45:00Z</dcterms:created>
  <dc:creator>jizhe</dc:creator>
  <cp:lastModifiedBy>要咩有咩~</cp:lastModifiedBy>
  <cp:lastPrinted>2016-12-24T02:25:00Z</cp:lastPrinted>
  <dcterms:modified xsi:type="dcterms:W3CDTF">2025-08-20T10:46:58Z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FA46F9CBF5464FA193FBE334843BCCB1_13</vt:lpwstr>
  </property>
  <property fmtid="{D5CDD505-2E9C-101B-9397-08002B2CF9AE}" pid="4" name="KSOTemplateDocerSaveRecord">
    <vt:lpwstr>eyJoZGlkIjoiYjA5MzcyZDE2ZDYzZjJhNzYzOTExMTIzZjlmYzVhOGEiLCJ1c2VySWQiOiIyNzkxOTMyNDcifQ==</vt:lpwstr>
  </property>
</Properties>
</file>