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C095B">
      <w:pPr>
        <w:spacing w:before="234"/>
        <w:ind w:left="790" w:right="790"/>
        <w:jc w:val="center"/>
        <w:rPr>
          <w:rFonts w:ascii="宋体" w:hAnsi="宋体" w:eastAsia="宋体"/>
          <w:highlight w:val="none"/>
        </w:rPr>
      </w:pPr>
    </w:p>
    <w:p w14:paraId="50F1F213">
      <w:pPr>
        <w:spacing w:before="234"/>
        <w:ind w:left="790" w:right="790"/>
        <w:jc w:val="center"/>
        <w:rPr>
          <w:rFonts w:ascii="宋体" w:hAnsi="宋体" w:eastAsia="宋体"/>
          <w:highlight w:val="none"/>
        </w:rPr>
      </w:pPr>
    </w:p>
    <w:p w14:paraId="5B36F926">
      <w:pPr>
        <w:spacing w:before="234"/>
        <w:ind w:left="790" w:right="790"/>
        <w:jc w:val="center"/>
        <w:rPr>
          <w:rFonts w:ascii="宋体" w:hAnsi="宋体" w:eastAsia="宋体"/>
          <w:highlight w:val="none"/>
        </w:rPr>
      </w:pPr>
    </w:p>
    <w:p w14:paraId="607E522F">
      <w:pPr>
        <w:ind w:right="790"/>
        <w:jc w:val="center"/>
        <w:rPr>
          <w:rFonts w:hint="eastAsia" w:cs="Times New Roman"/>
          <w:b/>
          <w:kern w:val="0"/>
          <w:sz w:val="36"/>
          <w:szCs w:val="36"/>
          <w:highlight w:val="none"/>
          <w:lang w:val="en-GB"/>
        </w:rPr>
      </w:pPr>
      <w:r>
        <w:rPr>
          <w:rFonts w:hint="eastAsia" w:cs="Times New Roman"/>
          <w:b/>
          <w:kern w:val="0"/>
          <w:sz w:val="36"/>
          <w:szCs w:val="36"/>
          <w:highlight w:val="none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highlight w:val="none"/>
          <w:lang w:val="en-US" w:eastAsia="zh-CN"/>
        </w:rPr>
        <w:t>1</w:t>
      </w:r>
      <w:r>
        <w:rPr>
          <w:rFonts w:hint="eastAsia" w:cs="Times New Roman"/>
          <w:b/>
          <w:kern w:val="0"/>
          <w:sz w:val="36"/>
          <w:szCs w:val="36"/>
          <w:highlight w:val="none"/>
          <w:lang w:val="en-GB"/>
        </w:rPr>
        <w:t>地块</w:t>
      </w:r>
    </w:p>
    <w:p w14:paraId="60ABBC3D">
      <w:pPr>
        <w:ind w:right="790"/>
        <w:jc w:val="center"/>
        <w:rPr>
          <w:rFonts w:hint="eastAsia" w:cs="Times New Roman"/>
          <w:b/>
          <w:kern w:val="0"/>
          <w:sz w:val="36"/>
          <w:szCs w:val="36"/>
          <w:highlight w:val="none"/>
          <w:lang w:val="en-GB"/>
        </w:rPr>
      </w:pPr>
    </w:p>
    <w:p w14:paraId="70B47CCB">
      <w:pPr>
        <w:ind w:right="790"/>
        <w:jc w:val="center"/>
        <w:rPr>
          <w:rFonts w:ascii="黑体" w:eastAsia="黑体"/>
          <w:b/>
          <w:bCs/>
          <w:sz w:val="48"/>
          <w:highlight w:val="none"/>
        </w:rPr>
      </w:pPr>
      <w:r>
        <w:rPr>
          <w:rFonts w:hint="eastAsia" w:ascii="黑体" w:eastAsia="黑体"/>
          <w:b/>
          <w:bCs/>
          <w:sz w:val="48"/>
          <w:highlight w:val="none"/>
        </w:rPr>
        <w:t>水资源利用方案报告</w:t>
      </w:r>
    </w:p>
    <w:p w14:paraId="18CCFC03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1A69E68D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09BCDB1E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3864E330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2AB1EE6F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29EF3890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74F5E71F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6C81C3E3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1245F696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35892920">
      <w:pPr>
        <w:widowControl/>
        <w:jc w:val="left"/>
        <w:rPr>
          <w:rFonts w:ascii="Times New Roman" w:hAnsi="Times New Roman" w:eastAsia="宋体"/>
          <w:highlight w:val="none"/>
        </w:rPr>
      </w:pPr>
    </w:p>
    <w:p w14:paraId="6782BB35">
      <w:pPr>
        <w:widowControl/>
        <w:jc w:val="left"/>
        <w:rPr>
          <w:rFonts w:ascii="Times New Roman" w:hAnsi="Times New Roman" w:eastAsia="宋体"/>
          <w:highlight w:val="none"/>
        </w:rPr>
      </w:pPr>
    </w:p>
    <w:tbl>
      <w:tblPr>
        <w:tblStyle w:val="2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A21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16273A">
            <w:pPr>
              <w:spacing w:line="600" w:lineRule="exact"/>
              <w:jc w:val="distribute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工程地点</w:t>
            </w:r>
          </w:p>
        </w:tc>
        <w:tc>
          <w:tcPr>
            <w:tcW w:w="456" w:type="dxa"/>
          </w:tcPr>
          <w:p w14:paraId="3DEB8415">
            <w:pPr>
              <w:spacing w:line="600" w:lineRule="exact"/>
              <w:jc w:val="center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0F36F352">
            <w:pPr>
              <w:spacing w:line="600" w:lineRule="exact"/>
              <w:jc w:val="center"/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济南</w:t>
            </w:r>
          </w:p>
        </w:tc>
      </w:tr>
      <w:tr w14:paraId="30D0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B47A4F">
            <w:pPr>
              <w:spacing w:line="600" w:lineRule="exact"/>
              <w:jc w:val="distribute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建设单位</w:t>
            </w:r>
          </w:p>
        </w:tc>
        <w:tc>
          <w:tcPr>
            <w:tcW w:w="456" w:type="dxa"/>
          </w:tcPr>
          <w:p w14:paraId="55C51C8A">
            <w:pPr>
              <w:spacing w:line="600" w:lineRule="exact"/>
              <w:jc w:val="center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05E4AD15">
            <w:pPr>
              <w:spacing w:line="600" w:lineRule="exact"/>
              <w:jc w:val="center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济南先投新启建设开发有限公司</w:t>
            </w:r>
          </w:p>
        </w:tc>
      </w:tr>
      <w:tr w14:paraId="4DBF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1BDA270">
            <w:pPr>
              <w:spacing w:line="600" w:lineRule="exact"/>
              <w:jc w:val="distribute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咨询</w:t>
            </w:r>
            <w:r>
              <w:rPr>
                <w:rFonts w:hint="eastAsia" w:cs="Times New Roman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56" w:type="dxa"/>
          </w:tcPr>
          <w:p w14:paraId="730D74CE">
            <w:pPr>
              <w:spacing w:line="600" w:lineRule="exact"/>
              <w:jc w:val="center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470609">
            <w:pPr>
              <w:spacing w:line="600" w:lineRule="exact"/>
              <w:jc w:val="center"/>
              <w:rPr>
                <w:rFonts w:hint="default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山东省建筑设计研究院有限公司</w:t>
            </w:r>
          </w:p>
        </w:tc>
      </w:tr>
      <w:tr w14:paraId="7AFF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D5C27A">
            <w:pPr>
              <w:spacing w:line="600" w:lineRule="exact"/>
              <w:jc w:val="distribute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报告日期</w:t>
            </w:r>
          </w:p>
        </w:tc>
        <w:tc>
          <w:tcPr>
            <w:tcW w:w="456" w:type="dxa"/>
          </w:tcPr>
          <w:p w14:paraId="5C927BCA">
            <w:pPr>
              <w:spacing w:line="600" w:lineRule="exact"/>
              <w:jc w:val="center"/>
              <w:rPr>
                <w:rFonts w:hint="eastAsia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7AA3DA6F">
            <w:pPr>
              <w:spacing w:line="600" w:lineRule="exact"/>
              <w:jc w:val="center"/>
              <w:rPr>
                <w:rFonts w:hint="eastAsia" w:cs="Times New Roman"/>
                <w:sz w:val="24"/>
                <w:szCs w:val="24"/>
                <w:highlight w:val="none"/>
              </w:rPr>
            </w:pPr>
            <w:bookmarkStart w:id="0" w:name="报告日期"/>
            <w:bookmarkStart w:id="1" w:name="计算日期"/>
            <w:r>
              <w:rPr>
                <w:rFonts w:hint="eastAsia" w:cs="Times New Roman"/>
                <w:sz w:val="24"/>
                <w:szCs w:val="24"/>
                <w:highlight w:val="none"/>
              </w:rPr>
              <w:t>2025年4月20日</w:t>
            </w:r>
            <w:bookmarkEnd w:id="0"/>
            <w:bookmarkEnd w:id="1"/>
          </w:p>
        </w:tc>
      </w:tr>
    </w:tbl>
    <w:p w14:paraId="21F14DAB">
      <w:pPr>
        <w:widowControl/>
        <w:jc w:val="left"/>
        <w:rPr>
          <w:rFonts w:ascii="Times New Roman" w:hAnsi="Times New Roman" w:eastAsia="宋体"/>
          <w:highlight w:val="none"/>
        </w:rPr>
      </w:pPr>
      <w:r>
        <w:rPr>
          <w:rFonts w:ascii="Times New Roman" w:hAnsi="Times New Roman" w:eastAsia="宋体"/>
          <w:highlight w:val="none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highlight w:val="none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highlight w:val="none"/>
          <w:lang w:val="zh-CN"/>
        </w:rPr>
      </w:sdtEndPr>
      <w:sdtContent>
        <w:p w14:paraId="0A909916">
          <w:pPr>
            <w:pStyle w:val="24"/>
            <w:jc w:val="center"/>
            <w:rPr>
              <w:highlight w:val="none"/>
            </w:rPr>
          </w:pPr>
          <w:r>
            <w:rPr>
              <w:highlight w:val="none"/>
              <w:lang w:val="zh-CN"/>
            </w:rPr>
            <w:t>目录</w:t>
          </w:r>
        </w:p>
        <w:p w14:paraId="33EB99F6">
          <w:pPr>
            <w:pStyle w:val="10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TOC \o "1-3" \h \z \u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"_Toc61956665"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一、项目概况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_Toc61956665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455BCA88">
          <w:pPr>
            <w:pStyle w:val="10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"_Toc61956666"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二、政策及环境分析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_Toc61956666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006843D5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"_Toc61956667"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2.1政策要求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_Toc61956667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579A04E3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"_Toc61956668"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2.2水资源状况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_Toc61956668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45CFB187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"_Toc61956669"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2.3气象资料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_Toc61956669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2C27B185">
          <w:pPr>
            <w:pStyle w:val="10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"_Toc61956670"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三、用水量估算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_Toc61956670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7F1B1D83">
          <w:pPr>
            <w:pStyle w:val="6"/>
            <w:tabs>
              <w:tab w:val="right" w:leader="dot" w:pos="8296"/>
            </w:tabs>
            <w:rPr>
              <w:rFonts w:hint="eastAsia"/>
              <w:highlight w:val="none"/>
            </w:rPr>
          </w:pPr>
          <w:r>
            <w:rPr>
              <w:rFonts w:hint="eastAsia"/>
              <w:highlight w:val="none"/>
              <w:lang w:val="en-US" w:eastAsia="zh-CN"/>
            </w:rPr>
            <w:t>3</w:t>
          </w:r>
          <w:r>
            <w:rPr>
              <w:rFonts w:hint="eastAsia"/>
              <w:highlight w:val="none"/>
            </w:rPr>
            <w:t>.1生活用水量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_Toc61956670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</w:p>
        <w:p w14:paraId="554241B5">
          <w:pPr>
            <w:pStyle w:val="6"/>
            <w:tabs>
              <w:tab w:val="right" w:leader="dot" w:pos="8296"/>
            </w:tabs>
            <w:rPr>
              <w:rFonts w:hint="eastAsia"/>
              <w:highlight w:val="none"/>
            </w:rPr>
          </w:pPr>
          <w:r>
            <w:rPr>
              <w:rFonts w:hint="eastAsia"/>
              <w:highlight w:val="none"/>
              <w:lang w:val="en-US" w:eastAsia="zh-CN"/>
            </w:rPr>
            <w:t>3</w:t>
          </w:r>
          <w:r>
            <w:rPr>
              <w:rFonts w:hint="eastAsia"/>
              <w:highlight w:val="none"/>
            </w:rPr>
            <w:t>.2绿化灌溉用水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_Toc61956670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</w:p>
        <w:p w14:paraId="2B2E3363">
          <w:pPr>
            <w:pStyle w:val="6"/>
            <w:tabs>
              <w:tab w:val="right" w:leader="dot" w:pos="8296"/>
            </w:tabs>
            <w:rPr>
              <w:rFonts w:hint="eastAsia"/>
              <w:highlight w:val="none"/>
            </w:rPr>
          </w:pPr>
          <w:r>
            <w:rPr>
              <w:rFonts w:hint="eastAsia"/>
              <w:highlight w:val="none"/>
              <w:lang w:val="en-US" w:eastAsia="zh-CN"/>
            </w:rPr>
            <w:t>3</w:t>
          </w:r>
          <w:r>
            <w:rPr>
              <w:rFonts w:hint="eastAsia"/>
              <w:highlight w:val="none"/>
            </w:rPr>
            <w:t>.3道路广场浇撒用水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_Toc61956670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</w:p>
        <w:p w14:paraId="1A9F5790">
          <w:pPr>
            <w:pStyle w:val="6"/>
            <w:tabs>
              <w:tab w:val="right" w:leader="dot" w:pos="8296"/>
            </w:tabs>
            <w:rPr>
              <w:rFonts w:hint="eastAsia" w:eastAsiaTheme="minorEastAsia"/>
              <w:highlight w:val="none"/>
              <w:lang w:eastAsia="zh-CN"/>
            </w:rPr>
          </w:pPr>
          <w:r>
            <w:rPr>
              <w:rFonts w:hint="eastAsia"/>
              <w:highlight w:val="none"/>
              <w:lang w:val="en-US" w:eastAsia="zh-CN"/>
            </w:rPr>
            <w:t>3</w:t>
          </w:r>
          <w:r>
            <w:rPr>
              <w:rFonts w:hint="eastAsia"/>
              <w:highlight w:val="none"/>
            </w:rPr>
            <w:t>.4消防用水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6</w:t>
          </w:r>
        </w:p>
        <w:p w14:paraId="577456C3">
          <w:pPr>
            <w:pStyle w:val="6"/>
            <w:tabs>
              <w:tab w:val="right" w:leader="dot" w:pos="8296"/>
            </w:tabs>
            <w:rPr>
              <w:rFonts w:hint="eastAsia" w:eastAsiaTheme="minorEastAsia"/>
              <w:highlight w:val="none"/>
              <w:lang w:eastAsia="zh-CN"/>
            </w:rPr>
          </w:pPr>
          <w:r>
            <w:rPr>
              <w:rFonts w:hint="eastAsia"/>
              <w:highlight w:val="none"/>
              <w:lang w:val="en-US" w:eastAsia="zh-CN"/>
            </w:rPr>
            <w:t>3</w:t>
          </w:r>
          <w:r>
            <w:rPr>
              <w:rFonts w:hint="eastAsia"/>
              <w:highlight w:val="none"/>
            </w:rPr>
            <w:t>.5未预见用水量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6</w:t>
          </w:r>
        </w:p>
        <w:p w14:paraId="2825244C">
          <w:pPr>
            <w:pStyle w:val="6"/>
            <w:tabs>
              <w:tab w:val="right" w:leader="dot" w:pos="8296"/>
            </w:tabs>
            <w:rPr>
              <w:rFonts w:hint="eastAsia" w:eastAsiaTheme="minorEastAsia"/>
              <w:highlight w:val="none"/>
              <w:lang w:eastAsia="zh-CN"/>
            </w:rPr>
          </w:pPr>
          <w:r>
            <w:rPr>
              <w:rFonts w:hint="eastAsia"/>
              <w:highlight w:val="none"/>
              <w:lang w:val="en-US" w:eastAsia="zh-CN"/>
            </w:rPr>
            <w:t>3</w:t>
          </w:r>
          <w:r>
            <w:rPr>
              <w:rFonts w:hint="eastAsia"/>
              <w:highlight w:val="none"/>
            </w:rPr>
            <w:t>.6项目用水总量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6</w:t>
          </w:r>
        </w:p>
        <w:p w14:paraId="3135DF11">
          <w:pPr>
            <w:pStyle w:val="6"/>
            <w:tabs>
              <w:tab w:val="right" w:leader="dot" w:pos="8296"/>
            </w:tabs>
            <w:ind w:left="0" w:leftChars="0" w:firstLine="420" w:firstLineChars="200"/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"_Toc61956673" </w:instrText>
          </w:r>
          <w:r>
            <w:rPr>
              <w:highlight w:val="none"/>
            </w:rP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四、</w:t>
          </w:r>
          <w:r>
            <w:rPr>
              <w:rStyle w:val="15"/>
              <w:rFonts w:ascii="Times New Roman" w:hAnsi="Times New Roman" w:eastAsia="宋体"/>
              <w:highlight w:val="none"/>
            </w:rPr>
            <w:t>节水策略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6</w:t>
          </w:r>
          <w:r>
            <w:rPr>
              <w:highlight w:val="none"/>
            </w:rPr>
            <w:fldChar w:fldCharType="end"/>
          </w:r>
        </w:p>
        <w:p w14:paraId="45FF87C6">
          <w:pPr>
            <w:pStyle w:val="10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"_Toc61956674"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五、给排水系统设计方案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7</w:t>
          </w:r>
          <w:r>
            <w:rPr>
              <w:highlight w:val="none"/>
            </w:rPr>
            <w:fldChar w:fldCharType="end"/>
          </w:r>
        </w:p>
        <w:p w14:paraId="58115B2F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"_Toc61956675"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5.1生活给水系统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7</w:t>
          </w:r>
          <w:r>
            <w:rPr>
              <w:highlight w:val="none"/>
            </w:rPr>
            <w:fldChar w:fldCharType="end"/>
          </w:r>
        </w:p>
        <w:p w14:paraId="7A1D51C9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"_Toc61956676"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5.2生活排水系统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_Toc61956676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3569E221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"_Toc61956677"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5.3雨水排水系统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_Toc61956677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71F68FAE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"_Toc61956678"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5.4管材与配件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8</w:t>
          </w:r>
          <w:r>
            <w:rPr>
              <w:highlight w:val="none"/>
            </w:rPr>
            <w:fldChar w:fldCharType="end"/>
          </w:r>
        </w:p>
        <w:p w14:paraId="796A8C36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"_Toc61956679"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5.5阀门及附件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8</w:t>
          </w:r>
          <w:r>
            <w:rPr>
              <w:highlight w:val="none"/>
            </w:rPr>
            <w:fldChar w:fldCharType="end"/>
          </w:r>
        </w:p>
        <w:p w14:paraId="5182FEA6">
          <w:pPr>
            <w:pStyle w:val="6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"_Toc61956680"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5.6卫生洁具及附件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8</w:t>
          </w:r>
          <w:r>
            <w:rPr>
              <w:highlight w:val="none"/>
            </w:rPr>
            <w:fldChar w:fldCharType="end"/>
          </w:r>
        </w:p>
        <w:p w14:paraId="215617AC">
          <w:pPr>
            <w:pStyle w:val="10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"_Toc61956681"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六、非传统水源利用方案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9</w:t>
          </w:r>
          <w:r>
            <w:rPr>
              <w:highlight w:val="none"/>
            </w:rPr>
            <w:fldChar w:fldCharType="end"/>
          </w:r>
        </w:p>
        <w:p w14:paraId="37E8950A">
          <w:pPr>
            <w:pStyle w:val="10"/>
            <w:tabs>
              <w:tab w:val="right" w:leader="dot" w:pos="8296"/>
            </w:tabs>
            <w:rPr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"_Toc61956682" </w:instrText>
          </w:r>
          <w:r>
            <w:rPr>
              <w:highlight w:val="none"/>
            </w:rPr>
            <w:fldChar w:fldCharType="separate"/>
          </w:r>
          <w:r>
            <w:rPr>
              <w:rStyle w:val="15"/>
              <w:rFonts w:ascii="Times New Roman" w:hAnsi="Times New Roman" w:eastAsia="宋体"/>
              <w:highlight w:val="none"/>
            </w:rPr>
            <w:t>七、水量平衡</w:t>
          </w:r>
          <w:r>
            <w:rPr>
              <w:highlight w:val="none"/>
            </w:rPr>
            <w:tab/>
          </w:r>
          <w:r>
            <w:rPr>
              <w:rFonts w:hint="eastAsia"/>
              <w:highlight w:val="none"/>
              <w:lang w:val="en-US" w:eastAsia="zh-CN"/>
            </w:rPr>
            <w:t>9</w:t>
          </w:r>
          <w:r>
            <w:rPr>
              <w:highlight w:val="none"/>
            </w:rPr>
            <w:fldChar w:fldCharType="end"/>
          </w:r>
        </w:p>
        <w:p w14:paraId="75421C8B">
          <w:pPr>
            <w:rPr>
              <w:highlight w:val="none"/>
            </w:rPr>
          </w:pPr>
          <w:r>
            <w:rPr>
              <w:b/>
              <w:bCs/>
              <w:highlight w:val="none"/>
              <w:lang w:val="zh-CN"/>
            </w:rPr>
            <w:fldChar w:fldCharType="end"/>
          </w:r>
        </w:p>
      </w:sdtContent>
    </w:sdt>
    <w:p w14:paraId="73C7BE24">
      <w:pPr>
        <w:widowControl/>
        <w:jc w:val="left"/>
        <w:rPr>
          <w:rFonts w:ascii="Times New Roman" w:hAnsi="Times New Roman" w:eastAsia="宋体"/>
          <w:highlight w:val="none"/>
        </w:rPr>
      </w:pPr>
      <w:r>
        <w:rPr>
          <w:rFonts w:ascii="Times New Roman" w:hAnsi="Times New Roman" w:eastAsia="宋体"/>
          <w:highlight w:val="none"/>
        </w:rPr>
        <w:br w:type="page"/>
      </w:r>
    </w:p>
    <w:p w14:paraId="1270A019">
      <w:pPr>
        <w:pStyle w:val="3"/>
        <w:numPr>
          <w:ilvl w:val="0"/>
          <w:numId w:val="1"/>
        </w:numPr>
        <w:rPr>
          <w:rFonts w:ascii="Times New Roman" w:hAnsi="Times New Roman" w:eastAsia="宋体"/>
          <w:sz w:val="30"/>
          <w:szCs w:val="30"/>
          <w:highlight w:val="none"/>
        </w:rPr>
      </w:pPr>
      <w:bookmarkStart w:id="2" w:name="_Toc61956665"/>
      <w:r>
        <w:rPr>
          <w:rFonts w:hint="eastAsia" w:ascii="Times New Roman" w:hAnsi="Times New Roman" w:eastAsia="宋体"/>
          <w:sz w:val="30"/>
          <w:szCs w:val="30"/>
          <w:highlight w:val="none"/>
        </w:rPr>
        <w:t>项目概况</w:t>
      </w:r>
      <w:bookmarkEnd w:id="2"/>
    </w:p>
    <w:p w14:paraId="085AA8A9">
      <w:pPr>
        <w:rPr>
          <w:rFonts w:hint="eastAsia" w:ascii="Times New Roman" w:hAnsi="Times New Roman" w:eastAsia="宋体"/>
          <w:highlight w:val="none"/>
        </w:rPr>
      </w:pPr>
      <w:r>
        <w:rPr>
          <w:rFonts w:hint="eastAsia" w:ascii="Times New Roman" w:hAnsi="Times New Roman" w:eastAsia="宋体"/>
          <w:highlight w:val="none"/>
        </w:rPr>
        <w:drawing>
          <wp:inline distT="0" distB="0" distL="114300" distR="114300">
            <wp:extent cx="4029075" cy="3362325"/>
            <wp:effectExtent l="0" t="0" r="9525" b="9525"/>
            <wp:docPr id="2" name="图片 2" descr="鸟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鸟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8305">
      <w:pPr>
        <w:jc w:val="center"/>
        <w:rPr>
          <w:rFonts w:ascii="Times New Roman" w:hAnsi="Times New Roman" w:eastAsia="宋体"/>
          <w:sz w:val="18"/>
          <w:szCs w:val="18"/>
          <w:highlight w:val="none"/>
        </w:rPr>
      </w:pPr>
      <w:r>
        <w:rPr>
          <w:rFonts w:hint="eastAsia" w:ascii="Times New Roman" w:hAnsi="Times New Roman" w:eastAsia="宋体"/>
          <w:sz w:val="18"/>
          <w:szCs w:val="18"/>
          <w:highlight w:val="none"/>
        </w:rPr>
        <w:t>项目效果图</w:t>
      </w:r>
    </w:p>
    <w:p w14:paraId="2234ADB7">
      <w:pPr>
        <w:rPr>
          <w:rFonts w:hint="eastAsia" w:ascii="Times New Roman" w:hAnsi="Times New Roman" w:eastAsia="宋体"/>
          <w:highlight w:val="none"/>
        </w:rPr>
      </w:pPr>
    </w:p>
    <w:p w14:paraId="766E75D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本项目是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GB" w:eastAsia="zh-CN"/>
        </w:rPr>
        <w:t>济南新旧动能转换起步区褚家村、崔寨村等城中村改造项目 F-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GB" w:eastAsia="zh-CN"/>
        </w:rPr>
        <w:t>地块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项目位于济南新旧动能转换起步区崔寨片区，北邻北边界路，东临西环路，西临解营路。工程设计类别、等级：住宅小区、二级。主要经济技术指标：总用地面积28634.00平方米，总建筑面积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97857.65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平方米，其中地上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67523.17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平方米，地下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30334.48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平方米。建筑密度19.99%，地上容积率2.36，地下容积率0.70，绿地率35.1%。机动车停车位630辆，非机</w:t>
      </w:r>
      <w:bookmarkStart w:id="18" w:name="_GoBack"/>
      <w:bookmarkEnd w:id="18"/>
      <w:r>
        <w:rPr>
          <w:rFonts w:hint="eastAsia" w:ascii="Times New Roman" w:hAnsi="Times New Roman" w:eastAsia="宋体"/>
          <w:sz w:val="24"/>
          <w:szCs w:val="24"/>
          <w:highlight w:val="none"/>
        </w:rPr>
        <w:t>动车停车位1267辆。</w:t>
      </w:r>
    </w:p>
    <w:p w14:paraId="6AEFAFE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建筑结构形式、结构类别：住宅楼采用钢筋混凝土剪力墙结构，基础形式为筏板+桩基础；大门等配套公建为框架结构，基础形式为独立基础；车库为框架结构，基础形式为筏板+柱墩。</w:t>
      </w:r>
    </w:p>
    <w:p w14:paraId="52EC69D0">
      <w:pPr>
        <w:widowControl/>
        <w:jc w:val="left"/>
        <w:rPr>
          <w:rFonts w:ascii="Times New Roman" w:hAnsi="Times New Roman" w:eastAsia="宋体"/>
          <w:highlight w:val="none"/>
        </w:rPr>
      </w:pPr>
      <w:r>
        <w:rPr>
          <w:rFonts w:ascii="Times New Roman" w:hAnsi="Times New Roman" w:eastAsia="宋体"/>
          <w:highlight w:val="none"/>
        </w:rPr>
        <w:br w:type="page"/>
      </w:r>
    </w:p>
    <w:p w14:paraId="43A97E76">
      <w:pPr>
        <w:pStyle w:val="3"/>
        <w:numPr>
          <w:ilvl w:val="0"/>
          <w:numId w:val="1"/>
        </w:numPr>
        <w:rPr>
          <w:rFonts w:ascii="Times New Roman" w:hAnsi="Times New Roman" w:eastAsia="宋体"/>
          <w:sz w:val="30"/>
          <w:szCs w:val="30"/>
          <w:highlight w:val="none"/>
        </w:rPr>
      </w:pPr>
      <w:bookmarkStart w:id="3" w:name="_Toc61956666"/>
      <w:r>
        <w:rPr>
          <w:rFonts w:hint="eastAsia" w:ascii="Times New Roman" w:hAnsi="Times New Roman" w:eastAsia="宋体"/>
          <w:sz w:val="30"/>
          <w:szCs w:val="30"/>
          <w:highlight w:val="none"/>
        </w:rPr>
        <w:t>政策及环境分析</w:t>
      </w:r>
      <w:bookmarkEnd w:id="3"/>
    </w:p>
    <w:p w14:paraId="1C30BCF6">
      <w:pPr>
        <w:pStyle w:val="4"/>
        <w:rPr>
          <w:rFonts w:ascii="Times New Roman" w:hAnsi="Times New Roman" w:eastAsia="宋体"/>
          <w:sz w:val="24"/>
          <w:szCs w:val="24"/>
          <w:highlight w:val="none"/>
        </w:rPr>
      </w:pPr>
      <w:bookmarkStart w:id="4" w:name="_Toc61956667"/>
      <w:r>
        <w:rPr>
          <w:rFonts w:hint="eastAsia" w:ascii="Times New Roman" w:hAnsi="Times New Roman" w:eastAsia="宋体"/>
          <w:sz w:val="24"/>
          <w:szCs w:val="24"/>
          <w:highlight w:val="none"/>
        </w:rPr>
        <w:t>2.1政策要求</w:t>
      </w:r>
      <w:bookmarkEnd w:id="4"/>
    </w:p>
    <w:p w14:paraId="6C1D581D">
      <w:pPr>
        <w:spacing w:line="400" w:lineRule="exact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《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济南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市城市计划供水和节约用水管理办法》规划要求，各用水单位应根据国家及省、市有关计量管理规定，配备必要的用水计量器具，加强用水的计量管理。城市供水部门应加强入户总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一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 w14:paraId="5D9B7D15">
      <w:pPr>
        <w:pStyle w:val="4"/>
        <w:rPr>
          <w:rFonts w:ascii="Times New Roman" w:hAnsi="Times New Roman" w:eastAsia="宋体"/>
          <w:sz w:val="24"/>
          <w:szCs w:val="24"/>
          <w:highlight w:val="none"/>
        </w:rPr>
      </w:pPr>
      <w:bookmarkStart w:id="5" w:name="_Toc61956668"/>
      <w:r>
        <w:rPr>
          <w:rFonts w:hint="eastAsia" w:ascii="Times New Roman" w:hAnsi="Times New Roman" w:eastAsia="宋体"/>
          <w:sz w:val="24"/>
          <w:szCs w:val="24"/>
          <w:highlight w:val="none"/>
        </w:rPr>
        <w:t>2.2水资源状况</w:t>
      </w:r>
      <w:bookmarkEnd w:id="5"/>
    </w:p>
    <w:p w14:paraId="503659B4">
      <w:pPr>
        <w:pStyle w:val="4"/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6" w:name="_Toc61956669"/>
      <w:r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济南市多年平均当地水资源总量为22.53亿立方米，人均占有量仅283立方米，不足全国平均水平的七分之一。2021年数据显示，全市用水总量控制在21.26亿立方米，但预计到2025年用水缺口将达2.3亿立方米，2035年扩大至4.4亿立方米。</w:t>
      </w:r>
    </w:p>
    <w:p w14:paraId="44C21D4A">
      <w:pPr>
        <w:pStyle w:val="4"/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每年需调引黄河水5.68亿立方米、长江水1亿立方米，客水占总供水量的比例超过80%。引黄工程如鹊山水库、玉清水库承担了市区90%以上的供水任务2.3气象资料</w:t>
      </w:r>
      <w:bookmarkEnd w:id="6"/>
    </w:p>
    <w:p w14:paraId="04F3DF0B">
      <w:pPr>
        <w:pStyle w:val="4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2.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 气象资料</w:t>
      </w:r>
    </w:p>
    <w:p w14:paraId="6F0FAD93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济南市位于中国山东省中部，属于温带季风气候，具有明显的季节变化。以下是其主要气象特征：</w:t>
      </w:r>
    </w:p>
    <w:p w14:paraId="1AEFD7A3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1. 气候特点</w:t>
      </w:r>
    </w:p>
    <w:p w14:paraId="0365AF44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四季分明：春短多风沙，夏热多雨，秋凉干燥，冬寒少雪。</w:t>
      </w:r>
    </w:p>
    <w:p w14:paraId="6FBBB705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夏季高温多雨：7-8月最热，平均气温约27-29°C，极端高温可达40°C以上；降水集中，占全年60%以上，偶有暴雨。</w:t>
      </w:r>
    </w:p>
    <w:p w14:paraId="469FDD45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冬季寒冷干燥：1月最冷，平均气温约-1°C，极端低温可达-10°C以下；降雪较少，湿度低。</w:t>
      </w:r>
    </w:p>
    <w:p w14:paraId="36FCAB79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春秋短暂：春季（3-5月）多大风和沙尘天气；秋季（9-11月）凉爽宜人，昼夜温差大。</w:t>
      </w:r>
    </w:p>
    <w:p w14:paraId="35C71D0D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2. 气温与降水</w:t>
      </w:r>
    </w:p>
    <w:p w14:paraId="2A4E651A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年平均气温：13-14°C（近30年统计）。</w:t>
      </w:r>
    </w:p>
    <w:p w14:paraId="3951F379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年降水量：约600-700毫米，夏季占60%-70%，冬季仅5%-10%。</w:t>
      </w:r>
    </w:p>
    <w:p w14:paraId="43D63007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湿度：夏季平均湿度约70%，冬季降至50%以下。</w:t>
      </w:r>
    </w:p>
    <w:p w14:paraId="14B7F117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无霜期：约220天，集中在4月至10月。</w:t>
      </w:r>
    </w:p>
    <w:p w14:paraId="417340C3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3. 季节特征</w:t>
      </w:r>
    </w:p>
    <w:p w14:paraId="7CA888C9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春季（3-5月）：气温回升快，多大风和沙尘天气，偶有倒春寒。</w:t>
      </w:r>
    </w:p>
    <w:p w14:paraId="55231600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夏季（6-8月）：湿热多雨，7-8月为雨季，可能出现短时强降水或冰雹；高温高湿，体感闷热。</w:t>
      </w:r>
    </w:p>
    <w:p w14:paraId="65CD6705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秋季（9-11月）：天高气爽，气温适宜，但昼夜温差大，偶有秋旱。</w:t>
      </w:r>
    </w:p>
    <w:p w14:paraId="79BE30B3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冬季（12-2月）：干冷少雪，盛行西北风，雾霾天气较多（尤其12月-2月）。</w:t>
      </w:r>
    </w:p>
    <w:p w14:paraId="13533D6D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4. 特殊天气</w:t>
      </w:r>
    </w:p>
    <w:p w14:paraId="124E429E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雾霾：秋冬季节多发，受静稳天气和采暖排放影响。</w:t>
      </w:r>
    </w:p>
    <w:p w14:paraId="235DE56D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沙尘暴：春季偶发，近年因生态治理减少。</w:t>
      </w:r>
    </w:p>
    <w:p w14:paraId="432EA252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• 强对流天气：夏季可能出现短时暴雨、雷暴大风或冰雹。</w:t>
      </w:r>
    </w:p>
    <w:p w14:paraId="1E15BAA3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</w:p>
    <w:p w14:paraId="4D341ABB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</w:p>
    <w:p w14:paraId="580BF58D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</w:p>
    <w:p w14:paraId="4AA4CE68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</w:p>
    <w:p w14:paraId="3AA47AEA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</w:p>
    <w:p w14:paraId="1CB9BD42">
      <w:pPr>
        <w:spacing w:line="360" w:lineRule="auto"/>
        <w:jc w:val="both"/>
        <w:rPr>
          <w:rFonts w:hint="eastAsia" w:ascii="Times New Roman" w:hAnsi="Times New Roman" w:eastAsia="宋体"/>
          <w:sz w:val="24"/>
          <w:szCs w:val="24"/>
          <w:highlight w:val="none"/>
        </w:rPr>
      </w:pPr>
    </w:p>
    <w:p w14:paraId="75B05833">
      <w:pPr>
        <w:pStyle w:val="3"/>
        <w:numPr>
          <w:ilvl w:val="0"/>
          <w:numId w:val="1"/>
        </w:numPr>
        <w:rPr>
          <w:rFonts w:ascii="Times New Roman" w:hAnsi="Times New Roman" w:eastAsia="宋体"/>
          <w:sz w:val="30"/>
          <w:szCs w:val="30"/>
          <w:highlight w:val="none"/>
        </w:rPr>
      </w:pPr>
      <w:bookmarkStart w:id="7" w:name="_Toc61956670"/>
      <w:r>
        <w:rPr>
          <w:rFonts w:hint="eastAsia" w:ascii="Times New Roman" w:hAnsi="Times New Roman" w:eastAsia="宋体"/>
          <w:sz w:val="30"/>
          <w:szCs w:val="30"/>
          <w:highlight w:val="none"/>
        </w:rPr>
        <w:t>用水量估算</w:t>
      </w:r>
      <w:bookmarkEnd w:id="7"/>
    </w:p>
    <w:p w14:paraId="4755C586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bookmarkStart w:id="8" w:name="_Toc61956673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3.1、生活用水</w:t>
      </w:r>
    </w:p>
    <w:p w14:paraId="59105CAC">
      <w:pPr>
        <w:adjustRightInd w:val="0"/>
        <w:snapToGrid w:val="0"/>
        <w:spacing w:line="360" w:lineRule="auto"/>
        <w:ind w:firstLine="360" w:firstLineChars="150"/>
        <w:rPr>
          <w:rFonts w:ascii="Calibri" w:hAnsi="Calibri" w:cs="黑体"/>
          <w:sz w:val="24"/>
          <w:szCs w:val="24"/>
          <w:highlight w:val="none"/>
        </w:rPr>
      </w:pPr>
      <w:r>
        <w:rPr>
          <w:rFonts w:hint="eastAsia" w:ascii="Calibri" w:hAnsi="Calibri" w:cs="黑体"/>
          <w:sz w:val="24"/>
          <w:szCs w:val="24"/>
          <w:highlight w:val="none"/>
        </w:rPr>
        <w:t>根据《建筑给水排水设计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Calibri" w:hAnsi="Calibri" w:cs="黑体"/>
          <w:sz w:val="24"/>
          <w:szCs w:val="24"/>
          <w:highlight w:val="none"/>
        </w:rPr>
        <w:t>》GB50015-20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1</w:t>
      </w:r>
      <w:r>
        <w:rPr>
          <w:rFonts w:ascii="Calibri" w:hAnsi="Calibri" w:cs="黑体"/>
          <w:sz w:val="24"/>
          <w:szCs w:val="24"/>
          <w:highlight w:val="none"/>
        </w:rPr>
        <w:t>9</w:t>
      </w:r>
      <w:r>
        <w:rPr>
          <w:rFonts w:hint="eastAsia" w:ascii="Calibri" w:hAnsi="Calibri" w:cs="黑体"/>
          <w:sz w:val="24"/>
          <w:szCs w:val="24"/>
          <w:highlight w:val="none"/>
        </w:rPr>
        <w:t>第 3.1 条对建筑用水定额的规定计算本建筑总耗水量。</w:t>
      </w:r>
    </w:p>
    <w:p w14:paraId="572CEEC3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Calibri" w:hAnsi="Calibri" w:cs="黑体"/>
          <w:sz w:val="24"/>
          <w:szCs w:val="24"/>
          <w:highlight w:val="none"/>
        </w:rPr>
      </w:pP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住户</w:t>
      </w:r>
      <w:r>
        <w:rPr>
          <w:rFonts w:hint="eastAsia" w:ascii="Calibri" w:hAnsi="Calibri" w:cs="黑体"/>
          <w:sz w:val="24"/>
          <w:szCs w:val="24"/>
          <w:highlight w:val="none"/>
        </w:rPr>
        <w:t>用水定额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Calibri" w:hAnsi="Calibri" w:cs="黑体"/>
          <w:sz w:val="24"/>
          <w:szCs w:val="24"/>
          <w:highlight w:val="none"/>
        </w:rPr>
        <w:t>0L/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人.</w:t>
      </w:r>
      <w:r>
        <w:rPr>
          <w:rFonts w:hint="eastAsia" w:ascii="Calibri" w:hAnsi="Calibri" w:cs="黑体"/>
          <w:sz w:val="24"/>
          <w:szCs w:val="24"/>
          <w:highlight w:val="none"/>
        </w:rPr>
        <w:t>d，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3.2人/户，F1地块共计608户，</w:t>
      </w:r>
      <w:r>
        <w:rPr>
          <w:rFonts w:hint="eastAsia" w:ascii="Calibri" w:hAnsi="Calibri" w:cs="黑体"/>
          <w:sz w:val="24"/>
          <w:szCs w:val="24"/>
          <w:highlight w:val="none"/>
        </w:rPr>
        <w:t>人数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194</w:t>
      </w:r>
      <w:r>
        <w:rPr>
          <w:rFonts w:hint="eastAsia" w:ascii="Calibri" w:hAnsi="Calibri" w:cs="黑体"/>
          <w:sz w:val="24"/>
          <w:szCs w:val="24"/>
          <w:highlight w:val="none"/>
        </w:rPr>
        <w:t>0人</w:t>
      </w:r>
    </w:p>
    <w:p w14:paraId="75915DB5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Calibri" w:hAnsi="Calibri" w:cs="黑体"/>
          <w:sz w:val="24"/>
          <w:szCs w:val="24"/>
          <w:highlight w:val="none"/>
        </w:rPr>
      </w:pPr>
      <w:r>
        <w:rPr>
          <w:rFonts w:hint="eastAsia" w:ascii="Calibri" w:hAnsi="Calibri" w:cs="黑体"/>
          <w:sz w:val="24"/>
          <w:szCs w:val="24"/>
          <w:highlight w:val="none"/>
        </w:rPr>
        <w:t>最高日用水量：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Calibri" w:hAnsi="Calibri" w:cs="黑体"/>
          <w:sz w:val="24"/>
          <w:szCs w:val="24"/>
          <w:highlight w:val="none"/>
        </w:rPr>
        <w:t>0*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194</w:t>
      </w:r>
      <w:r>
        <w:rPr>
          <w:rFonts w:hint="eastAsia" w:ascii="Calibri" w:hAnsi="Calibri" w:cs="黑体"/>
          <w:sz w:val="24"/>
          <w:szCs w:val="24"/>
          <w:highlight w:val="none"/>
        </w:rPr>
        <w:t>0/1000=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388</w:t>
      </w:r>
      <w:r>
        <w:rPr>
          <w:rFonts w:hint="eastAsia" w:ascii="Calibri" w:hAnsi="Calibri" w:cs="黑体"/>
          <w:sz w:val="24"/>
          <w:szCs w:val="24"/>
          <w:highlight w:val="none"/>
        </w:rPr>
        <w:t>m³/天</w:t>
      </w:r>
    </w:p>
    <w:p w14:paraId="16BB9FA9">
      <w:pPr>
        <w:numPr>
          <w:ilvl w:val="0"/>
          <w:numId w:val="2"/>
        </w:numPr>
        <w:adjustRightInd w:val="0"/>
        <w:snapToGrid w:val="0"/>
        <w:spacing w:line="360" w:lineRule="auto"/>
        <w:rPr>
          <w:sz w:val="24"/>
          <w:szCs w:val="24"/>
          <w:highlight w:val="none"/>
        </w:rPr>
      </w:pP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最大小时用水</w:t>
      </w:r>
      <w:r>
        <w:rPr>
          <w:rFonts w:hint="eastAsia" w:ascii="Calibri" w:hAnsi="Calibri" w:cs="黑体"/>
          <w:sz w:val="24"/>
          <w:szCs w:val="24"/>
          <w:highlight w:val="none"/>
        </w:rPr>
        <w:t>量</w:t>
      </w:r>
      <w:r>
        <w:rPr>
          <w:rFonts w:hint="eastAsia" w:ascii="Calibri" w:hAnsi="Calibri" w:cs="黑体"/>
          <w:sz w:val="24"/>
          <w:szCs w:val="24"/>
          <w:highlight w:val="none"/>
          <w:lang w:eastAsia="zh-CN"/>
        </w:rPr>
        <w:t>：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388/24*2.8=45.26</w:t>
      </w:r>
      <w:r>
        <w:rPr>
          <w:rFonts w:hint="eastAsia" w:ascii="Calibri" w:hAnsi="Calibri" w:cs="黑体"/>
          <w:sz w:val="24"/>
          <w:szCs w:val="24"/>
          <w:highlight w:val="none"/>
        </w:rPr>
        <w:t>m³/</w:t>
      </w:r>
      <w:r>
        <w:rPr>
          <w:rFonts w:hint="eastAsia" w:ascii="Calibri" w:hAnsi="Calibri" w:cs="黑体"/>
          <w:sz w:val="24"/>
          <w:szCs w:val="24"/>
          <w:highlight w:val="none"/>
          <w:lang w:val="en-US" w:eastAsia="zh-CN"/>
        </w:rPr>
        <w:t>h</w:t>
      </w:r>
      <w:r>
        <w:rPr>
          <w:rFonts w:hint="eastAsia" w:ascii="Calibri" w:hAnsi="Calibri" w:cs="黑体"/>
          <w:sz w:val="24"/>
          <w:szCs w:val="24"/>
          <w:highlight w:val="none"/>
        </w:rPr>
        <w:t>。</w:t>
      </w:r>
    </w:p>
    <w:p w14:paraId="507A2548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3.2  绿化灌溉用水</w:t>
      </w:r>
    </w:p>
    <w:p w14:paraId="3F59A16A"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根据《民用建筑节水设计标准》（GB50555-2010），绿化灌溉年均灌水定额本项目按照冷季型二级养护，取为0.28m3/㎡•a。总绿化面积为1</w:t>
      </w:r>
      <w:r>
        <w:rPr>
          <w:rFonts w:hint="eastAsia"/>
          <w:sz w:val="24"/>
          <w:szCs w:val="24"/>
          <w:highlight w:val="none"/>
          <w:lang w:val="en-US" w:eastAsia="zh-CN"/>
        </w:rPr>
        <w:t>0050.5</w:t>
      </w:r>
      <w:r>
        <w:rPr>
          <w:rFonts w:hint="eastAsia"/>
          <w:sz w:val="24"/>
          <w:szCs w:val="24"/>
          <w:highlight w:val="none"/>
        </w:rPr>
        <w:t>㎡</w:t>
      </w:r>
    </w:p>
    <w:p w14:paraId="6C34FA34">
      <w:pPr>
        <w:adjustRightInd w:val="0"/>
        <w:snapToGrid w:val="0"/>
        <w:spacing w:line="360" w:lineRule="auto"/>
        <w:ind w:firstLine="600" w:firstLineChars="25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年灌溉用水量：Qld=q*Fl=0.28*</w:t>
      </w:r>
      <w:r>
        <w:rPr>
          <w:sz w:val="24"/>
          <w:szCs w:val="24"/>
          <w:highlight w:val="none"/>
        </w:rPr>
        <w:t xml:space="preserve"> 1</w:t>
      </w:r>
      <w:r>
        <w:rPr>
          <w:rFonts w:hint="eastAsia"/>
          <w:sz w:val="24"/>
          <w:szCs w:val="24"/>
          <w:highlight w:val="none"/>
          <w:lang w:val="en-US" w:eastAsia="zh-CN"/>
        </w:rPr>
        <w:t>0050.5</w:t>
      </w:r>
      <w:r>
        <w:rPr>
          <w:rFonts w:hint="eastAsia"/>
          <w:sz w:val="24"/>
          <w:szCs w:val="24"/>
          <w:highlight w:val="none"/>
        </w:rPr>
        <w:t>=</w:t>
      </w:r>
      <w:r>
        <w:rPr>
          <w:rFonts w:hint="eastAsia"/>
          <w:sz w:val="24"/>
          <w:szCs w:val="24"/>
          <w:highlight w:val="none"/>
          <w:lang w:val="en-US" w:eastAsia="zh-CN"/>
        </w:rPr>
        <w:t>2814.15</w:t>
      </w:r>
      <w:r>
        <w:rPr>
          <w:sz w:val="24"/>
          <w:szCs w:val="24"/>
          <w:highlight w:val="none"/>
        </w:rPr>
        <w:t>m3/a</w:t>
      </w:r>
    </w:p>
    <w:p w14:paraId="1D723549">
      <w:pPr>
        <w:adjustRightInd w:val="0"/>
        <w:snapToGrid w:val="0"/>
        <w:spacing w:line="360" w:lineRule="auto"/>
        <w:ind w:firstLine="720" w:firstLineChars="3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式中：</w:t>
      </w:r>
      <w:r>
        <w:rPr>
          <w:sz w:val="24"/>
          <w:szCs w:val="24"/>
          <w:highlight w:val="none"/>
        </w:rPr>
        <w:t>Qld</w:t>
      </w:r>
      <w:r>
        <w:rPr>
          <w:rFonts w:hint="eastAsia"/>
          <w:sz w:val="24"/>
          <w:szCs w:val="24"/>
          <w:highlight w:val="none"/>
        </w:rPr>
        <w:t xml:space="preserve"> 年灌溉用水量；q 年均灌溉定额；Fl 绿地面积</w:t>
      </w:r>
    </w:p>
    <w:p w14:paraId="2D567C9E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3.3道路广场浇洒用水</w:t>
      </w:r>
    </w:p>
    <w:p w14:paraId="76EA0837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按照《民用建筑节水设计标准》GB50555-2010表 3.1.5 规定,道路、广场的浇洒用水定额可按浇洒面积0.2-0.5 L/（m2•次）计算。根据</w:t>
      </w:r>
      <w:r>
        <w:rPr>
          <w:rFonts w:hint="eastAsia"/>
          <w:sz w:val="24"/>
          <w:szCs w:val="24"/>
          <w:highlight w:val="none"/>
          <w:lang w:val="en-US" w:eastAsia="zh-CN"/>
        </w:rPr>
        <w:t>济南市</w:t>
      </w:r>
      <w:r>
        <w:rPr>
          <w:rFonts w:hint="eastAsia"/>
          <w:sz w:val="24"/>
          <w:szCs w:val="24"/>
          <w:highlight w:val="none"/>
        </w:rPr>
        <w:t xml:space="preserve">气候特点和本项目实际情况，浇洒道路、广场用水定额选为：0.25 L/（m2•次），整个申报范围内道路广场浇洒面积为 </w:t>
      </w:r>
      <w:r>
        <w:rPr>
          <w:sz w:val="24"/>
          <w:szCs w:val="24"/>
          <w:highlight w:val="none"/>
        </w:rPr>
        <w:t>12951.8</w:t>
      </w:r>
      <w:r>
        <w:rPr>
          <w:rFonts w:hint="eastAsia"/>
          <w:sz w:val="24"/>
          <w:szCs w:val="24"/>
          <w:highlight w:val="none"/>
        </w:rPr>
        <w:t>m2,考虑气候变化和冬季不浇洒，年浇洒次数按3</w:t>
      </w:r>
      <w:r>
        <w:rPr>
          <w:sz w:val="24"/>
          <w:szCs w:val="24"/>
          <w:highlight w:val="none"/>
        </w:rPr>
        <w:t>0</w:t>
      </w:r>
      <w:r>
        <w:rPr>
          <w:rFonts w:hint="eastAsia"/>
          <w:sz w:val="24"/>
          <w:szCs w:val="24"/>
          <w:highlight w:val="none"/>
        </w:rPr>
        <w:t>次计，则用水量为：</w:t>
      </w:r>
    </w:p>
    <w:p w14:paraId="7DA76107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    每天的道路、广场用水量 Q3=</w:t>
      </w:r>
      <w:r>
        <w:rPr>
          <w:sz w:val="24"/>
          <w:szCs w:val="24"/>
          <w:highlight w:val="none"/>
        </w:rPr>
        <w:t>0.25</w:t>
      </w:r>
      <w:r>
        <w:rPr>
          <w:rFonts w:hint="eastAsia"/>
          <w:sz w:val="24"/>
          <w:szCs w:val="24"/>
          <w:highlight w:val="none"/>
        </w:rPr>
        <w:t>×</w:t>
      </w:r>
      <w:r>
        <w:rPr>
          <w:sz w:val="24"/>
          <w:szCs w:val="24"/>
          <w:highlight w:val="none"/>
        </w:rPr>
        <w:t>12951.8</w:t>
      </w:r>
      <w:r>
        <w:rPr>
          <w:rFonts w:hint="eastAsia"/>
          <w:sz w:val="24"/>
          <w:szCs w:val="24"/>
          <w:highlight w:val="none"/>
        </w:rPr>
        <w:t xml:space="preserve">÷1000= </w:t>
      </w:r>
      <w:r>
        <w:rPr>
          <w:sz w:val="24"/>
          <w:szCs w:val="24"/>
          <w:highlight w:val="none"/>
        </w:rPr>
        <w:t>3.24</w:t>
      </w:r>
      <w:r>
        <w:rPr>
          <w:rFonts w:hint="eastAsia"/>
          <w:sz w:val="24"/>
          <w:szCs w:val="24"/>
          <w:highlight w:val="none"/>
        </w:rPr>
        <w:t>m³/d</w:t>
      </w:r>
    </w:p>
    <w:p w14:paraId="7AAB7D06">
      <w:pPr>
        <w:spacing w:line="360" w:lineRule="auto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 xml:space="preserve">     本项目道路浇洒年用水量 Q 道路广场=</w:t>
      </w:r>
      <w:r>
        <w:rPr>
          <w:sz w:val="24"/>
          <w:szCs w:val="24"/>
          <w:highlight w:val="none"/>
        </w:rPr>
        <w:t>3.24</w:t>
      </w:r>
      <w:r>
        <w:rPr>
          <w:rFonts w:hint="eastAsia"/>
          <w:sz w:val="24"/>
          <w:szCs w:val="24"/>
          <w:highlight w:val="none"/>
        </w:rPr>
        <w:t>×</w:t>
      </w:r>
      <w:r>
        <w:rPr>
          <w:sz w:val="24"/>
          <w:szCs w:val="24"/>
          <w:highlight w:val="none"/>
        </w:rPr>
        <w:t>30</w:t>
      </w:r>
      <w:r>
        <w:rPr>
          <w:rFonts w:hint="eastAsia"/>
          <w:sz w:val="24"/>
          <w:szCs w:val="24"/>
          <w:highlight w:val="none"/>
        </w:rPr>
        <w:t>=</w:t>
      </w:r>
      <w:r>
        <w:rPr>
          <w:sz w:val="24"/>
          <w:szCs w:val="24"/>
          <w:highlight w:val="none"/>
        </w:rPr>
        <w:t>97.2</w:t>
      </w:r>
      <w:r>
        <w:rPr>
          <w:rFonts w:hint="eastAsia"/>
          <w:sz w:val="24"/>
          <w:szCs w:val="24"/>
          <w:highlight w:val="none"/>
        </w:rPr>
        <w:t>m³/</w:t>
      </w:r>
      <w:r>
        <w:rPr>
          <w:rFonts w:hint="eastAsia"/>
          <w:sz w:val="24"/>
          <w:szCs w:val="24"/>
          <w:highlight w:val="none"/>
          <w:lang w:val="en-US" w:eastAsia="zh-CN"/>
        </w:rPr>
        <w:t>a</w:t>
      </w:r>
    </w:p>
    <w:p w14:paraId="634D44B2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3.4 消防用水</w:t>
      </w:r>
    </w:p>
    <w:p w14:paraId="00F0BA24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本项目消防水量按同一时间内的火灾次数1次，室内一次灭火用水量1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L/s，室外一次灭火用水量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sz w:val="24"/>
          <w:szCs w:val="24"/>
          <w:highlight w:val="none"/>
        </w:rPr>
        <w:t>L/s，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自动喷淋灭火系统用水量30L/s，</w:t>
      </w:r>
      <w:r>
        <w:rPr>
          <w:rFonts w:hint="eastAsia" w:ascii="宋体" w:hAnsi="宋体"/>
          <w:sz w:val="24"/>
          <w:szCs w:val="24"/>
          <w:highlight w:val="none"/>
        </w:rPr>
        <w:t xml:space="preserve">火灾延续时间按2h计,则消防用水量为：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396</w:t>
      </w:r>
      <w:r>
        <w:rPr>
          <w:rFonts w:hint="eastAsia" w:ascii="宋体" w:hAnsi="宋体"/>
          <w:sz w:val="24"/>
          <w:szCs w:val="24"/>
          <w:highlight w:val="none"/>
        </w:rPr>
        <w:t>m³。</w:t>
      </w:r>
    </w:p>
    <w:p w14:paraId="15FECA8E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3.5 未预见用水量</w:t>
      </w:r>
    </w:p>
    <w:p w14:paraId="51FE4147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未预见用水量按生活用水量的5%计算，未预见用水量为则年</w:t>
      </w:r>
    </w:p>
    <w:p w14:paraId="1F99145E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用水量Q6 为2673.75m³/y</w:t>
      </w:r>
    </w:p>
    <w:p w14:paraId="36591143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.6项目用水总量</w:t>
      </w:r>
    </w:p>
    <w:p w14:paraId="0D094E96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通过上述计算，本项目总用水量Q统计如下：</w:t>
      </w:r>
    </w:p>
    <w:tbl>
      <w:tblPr>
        <w:tblStyle w:val="12"/>
        <w:tblW w:w="9156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059"/>
        <w:gridCol w:w="541"/>
        <w:gridCol w:w="617"/>
        <w:gridCol w:w="1183"/>
        <w:gridCol w:w="1467"/>
        <w:gridCol w:w="1083"/>
        <w:gridCol w:w="1617"/>
      </w:tblGrid>
      <w:tr w14:paraId="67D3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589" w:type="dxa"/>
            <w:vMerge w:val="restart"/>
            <w:noWrap w:val="0"/>
            <w:vAlign w:val="top"/>
          </w:tcPr>
          <w:p w14:paraId="125020F0">
            <w:pPr>
              <w:spacing w:line="360" w:lineRule="auto"/>
              <w:ind w:firstLine="525" w:firstLineChars="25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用途</w:t>
            </w:r>
          </w:p>
        </w:tc>
        <w:tc>
          <w:tcPr>
            <w:tcW w:w="1600" w:type="dxa"/>
            <w:gridSpan w:val="2"/>
            <w:noWrap w:val="0"/>
            <w:vAlign w:val="top"/>
          </w:tcPr>
          <w:p w14:paraId="0FD2BB12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42F03276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用水定额</w:t>
            </w:r>
          </w:p>
        </w:tc>
        <w:tc>
          <w:tcPr>
            <w:tcW w:w="1467" w:type="dxa"/>
            <w:vMerge w:val="restart"/>
            <w:noWrap w:val="0"/>
            <w:vAlign w:val="top"/>
          </w:tcPr>
          <w:p w14:paraId="0A09105A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最高日用水量</w:t>
            </w:r>
          </w:p>
        </w:tc>
        <w:tc>
          <w:tcPr>
            <w:tcW w:w="1083" w:type="dxa"/>
            <w:vMerge w:val="restart"/>
            <w:noWrap w:val="0"/>
            <w:vAlign w:val="top"/>
          </w:tcPr>
          <w:p w14:paraId="08AD17AF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使用天数</w:t>
            </w:r>
          </w:p>
        </w:tc>
        <w:tc>
          <w:tcPr>
            <w:tcW w:w="1617" w:type="dxa"/>
            <w:vMerge w:val="restart"/>
            <w:noWrap w:val="0"/>
            <w:vAlign w:val="top"/>
          </w:tcPr>
          <w:p w14:paraId="116BBC56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年用水量m³/y</w:t>
            </w:r>
          </w:p>
          <w:p w14:paraId="0D9700D9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 w14:paraId="0548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589" w:type="dxa"/>
            <w:vMerge w:val="continue"/>
            <w:noWrap w:val="0"/>
            <w:vAlign w:val="top"/>
          </w:tcPr>
          <w:p w14:paraId="0F1CE135">
            <w:pPr>
              <w:spacing w:line="360" w:lineRule="auto"/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top"/>
          </w:tcPr>
          <w:p w14:paraId="1AFE24ED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总数额</w:t>
            </w:r>
          </w:p>
        </w:tc>
        <w:tc>
          <w:tcPr>
            <w:tcW w:w="541" w:type="dxa"/>
            <w:noWrap w:val="0"/>
            <w:vAlign w:val="top"/>
          </w:tcPr>
          <w:p w14:paraId="6CC66FA3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17" w:type="dxa"/>
            <w:noWrap w:val="0"/>
            <w:vAlign w:val="top"/>
          </w:tcPr>
          <w:p w14:paraId="7F5656A3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83" w:type="dxa"/>
            <w:noWrap w:val="0"/>
            <w:vAlign w:val="top"/>
          </w:tcPr>
          <w:p w14:paraId="5CF9A6E2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467" w:type="dxa"/>
            <w:vMerge w:val="continue"/>
            <w:noWrap w:val="0"/>
            <w:vAlign w:val="top"/>
          </w:tcPr>
          <w:p w14:paraId="52D77F41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vMerge w:val="continue"/>
            <w:noWrap w:val="0"/>
            <w:vAlign w:val="top"/>
          </w:tcPr>
          <w:p w14:paraId="62D7BF40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vMerge w:val="continue"/>
            <w:noWrap w:val="0"/>
            <w:vAlign w:val="top"/>
          </w:tcPr>
          <w:p w14:paraId="128E854F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 w14:paraId="6E6E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top"/>
          </w:tcPr>
          <w:p w14:paraId="72A43828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</w:rPr>
              <w:t>生活用水</w:t>
            </w:r>
          </w:p>
        </w:tc>
        <w:tc>
          <w:tcPr>
            <w:tcW w:w="1059" w:type="dxa"/>
            <w:noWrap w:val="0"/>
            <w:vAlign w:val="top"/>
          </w:tcPr>
          <w:p w14:paraId="2B7C5CC8">
            <w:pPr>
              <w:spacing w:line="360" w:lineRule="auto"/>
              <w:ind w:left="315" w:hanging="315" w:hangingChars="150"/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388</w:t>
            </w:r>
          </w:p>
        </w:tc>
        <w:tc>
          <w:tcPr>
            <w:tcW w:w="541" w:type="dxa"/>
            <w:noWrap w:val="0"/>
            <w:vAlign w:val="top"/>
          </w:tcPr>
          <w:p w14:paraId="37AB2956">
            <w:pPr>
              <w:spacing w:line="360" w:lineRule="auto"/>
              <w:rPr>
                <w:rFonts w:hint="eastAsia" w:ascii="宋体" w:hAnsi="宋体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m³/天</w:t>
            </w:r>
          </w:p>
        </w:tc>
        <w:tc>
          <w:tcPr>
            <w:tcW w:w="617" w:type="dxa"/>
            <w:noWrap w:val="0"/>
            <w:vAlign w:val="top"/>
          </w:tcPr>
          <w:p w14:paraId="74779123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3" w:type="dxa"/>
            <w:noWrap w:val="0"/>
            <w:vAlign w:val="top"/>
          </w:tcPr>
          <w:p w14:paraId="214B48BC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ascii="Arial" w:hAnsi="Arial" w:eastAsia="幼圆" w:cs="Arial"/>
                <w:color w:val="000000"/>
                <w:kern w:val="0"/>
                <w:sz w:val="21"/>
                <w:szCs w:val="21"/>
                <w:highlight w:val="none"/>
              </w:rPr>
              <w:t>L/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（人</w:t>
            </w: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天）</w:t>
            </w:r>
          </w:p>
        </w:tc>
        <w:tc>
          <w:tcPr>
            <w:tcW w:w="1467" w:type="dxa"/>
            <w:noWrap w:val="0"/>
            <w:vAlign w:val="top"/>
          </w:tcPr>
          <w:p w14:paraId="494DB43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</w:t>
            </w:r>
          </w:p>
        </w:tc>
        <w:tc>
          <w:tcPr>
            <w:tcW w:w="1083" w:type="dxa"/>
            <w:noWrap w:val="0"/>
            <w:vAlign w:val="top"/>
          </w:tcPr>
          <w:p w14:paraId="32AA65E4">
            <w:pPr>
              <w:spacing w:line="360" w:lineRule="auto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365</w:t>
            </w:r>
          </w:p>
        </w:tc>
        <w:tc>
          <w:tcPr>
            <w:tcW w:w="1617" w:type="dxa"/>
            <w:noWrap w:val="0"/>
            <w:vAlign w:val="top"/>
          </w:tcPr>
          <w:p w14:paraId="0FF52C3E">
            <w:pPr>
              <w:spacing w:line="360" w:lineRule="auto"/>
              <w:ind w:left="315" w:hanging="315" w:hangingChars="150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141620</w:t>
            </w:r>
          </w:p>
        </w:tc>
      </w:tr>
      <w:tr w14:paraId="23EC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top"/>
          </w:tcPr>
          <w:p w14:paraId="0EF0B563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</w:rPr>
              <w:t>绿化灌溉用水</w:t>
            </w:r>
          </w:p>
        </w:tc>
        <w:tc>
          <w:tcPr>
            <w:tcW w:w="1059" w:type="dxa"/>
            <w:noWrap w:val="0"/>
            <w:vAlign w:val="top"/>
          </w:tcPr>
          <w:p w14:paraId="63790456">
            <w:pPr>
              <w:spacing w:line="360" w:lineRule="auto"/>
              <w:ind w:left="315" w:hanging="315" w:hangingChars="150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2814.15</w:t>
            </w:r>
          </w:p>
        </w:tc>
        <w:tc>
          <w:tcPr>
            <w:tcW w:w="541" w:type="dxa"/>
            <w:noWrap w:val="0"/>
            <w:vAlign w:val="top"/>
          </w:tcPr>
          <w:p w14:paraId="054583B5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617" w:type="dxa"/>
            <w:noWrap w:val="0"/>
            <w:vAlign w:val="top"/>
          </w:tcPr>
          <w:p w14:paraId="08B7B2D1">
            <w:pPr>
              <w:spacing w:line="360" w:lineRule="auto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0.28</w:t>
            </w:r>
          </w:p>
        </w:tc>
        <w:tc>
          <w:tcPr>
            <w:tcW w:w="1183" w:type="dxa"/>
            <w:noWrap w:val="0"/>
            <w:vAlign w:val="top"/>
          </w:tcPr>
          <w:p w14:paraId="44CB5764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ascii="Arial" w:hAnsi="Arial" w:eastAsia="幼圆" w:cs="Arial"/>
                <w:color w:val="000000"/>
                <w:kern w:val="0"/>
                <w:sz w:val="21"/>
                <w:szCs w:val="21"/>
                <w:highlight w:val="none"/>
              </w:rPr>
              <w:t>L/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highlight w:val="none"/>
              </w:rPr>
              <w:t>㎡</w:t>
            </w: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highlight w:val="none"/>
              </w:rPr>
              <w:t xml:space="preserve"> ·d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67" w:type="dxa"/>
            <w:noWrap w:val="0"/>
            <w:vAlign w:val="top"/>
          </w:tcPr>
          <w:p w14:paraId="3E217757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</w:t>
            </w:r>
          </w:p>
        </w:tc>
        <w:tc>
          <w:tcPr>
            <w:tcW w:w="1083" w:type="dxa"/>
            <w:noWrap w:val="0"/>
            <w:vAlign w:val="top"/>
          </w:tcPr>
          <w:p w14:paraId="30D323AB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120</w:t>
            </w:r>
          </w:p>
        </w:tc>
        <w:tc>
          <w:tcPr>
            <w:tcW w:w="1617" w:type="dxa"/>
            <w:noWrap w:val="0"/>
            <w:vAlign w:val="top"/>
          </w:tcPr>
          <w:p w14:paraId="19EDAF95">
            <w:pPr>
              <w:spacing w:line="360" w:lineRule="auto"/>
              <w:ind w:left="315" w:hanging="315" w:hangingChars="150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814.15</w:t>
            </w:r>
          </w:p>
        </w:tc>
      </w:tr>
      <w:tr w14:paraId="3464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top"/>
          </w:tcPr>
          <w:p w14:paraId="472BE01E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道路广场用水</w:t>
            </w:r>
          </w:p>
        </w:tc>
        <w:tc>
          <w:tcPr>
            <w:tcW w:w="1059" w:type="dxa"/>
            <w:noWrap w:val="0"/>
            <w:vAlign w:val="top"/>
          </w:tcPr>
          <w:p w14:paraId="66C42F6D">
            <w:pPr>
              <w:spacing w:line="360" w:lineRule="auto"/>
              <w:ind w:left="315" w:hanging="315" w:hangingChars="150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3.24</w:t>
            </w:r>
          </w:p>
        </w:tc>
        <w:tc>
          <w:tcPr>
            <w:tcW w:w="541" w:type="dxa"/>
            <w:noWrap w:val="0"/>
            <w:vAlign w:val="top"/>
          </w:tcPr>
          <w:p w14:paraId="5B292D1D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617" w:type="dxa"/>
            <w:noWrap w:val="0"/>
            <w:vAlign w:val="top"/>
          </w:tcPr>
          <w:p w14:paraId="1A893B08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83" w:type="dxa"/>
            <w:noWrap w:val="0"/>
            <w:vAlign w:val="top"/>
          </w:tcPr>
          <w:p w14:paraId="3A84B552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ascii="Arial" w:hAnsi="Arial" w:eastAsia="幼圆" w:cs="Arial"/>
                <w:color w:val="000000"/>
                <w:kern w:val="0"/>
                <w:sz w:val="21"/>
                <w:szCs w:val="21"/>
                <w:highlight w:val="none"/>
              </w:rPr>
              <w:t>L/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highlight w:val="none"/>
              </w:rPr>
              <w:t>㎡</w:t>
            </w: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highlight w:val="none"/>
              </w:rPr>
              <w:t xml:space="preserve"> ·d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67" w:type="dxa"/>
            <w:noWrap w:val="0"/>
            <w:vAlign w:val="top"/>
          </w:tcPr>
          <w:p w14:paraId="5CD1A6CF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</w:t>
            </w:r>
          </w:p>
        </w:tc>
        <w:tc>
          <w:tcPr>
            <w:tcW w:w="1083" w:type="dxa"/>
            <w:noWrap w:val="0"/>
            <w:vAlign w:val="top"/>
          </w:tcPr>
          <w:p w14:paraId="49B7F166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617" w:type="dxa"/>
            <w:noWrap w:val="0"/>
            <w:vAlign w:val="top"/>
          </w:tcPr>
          <w:p w14:paraId="539C6BFA">
            <w:pPr>
              <w:spacing w:line="360" w:lineRule="auto"/>
              <w:ind w:left="315" w:hanging="315" w:hangingChars="15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97.2</w:t>
            </w:r>
          </w:p>
        </w:tc>
      </w:tr>
      <w:tr w14:paraId="3BAF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top"/>
          </w:tcPr>
          <w:p w14:paraId="3A5AACB9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消防用水</w:t>
            </w:r>
          </w:p>
        </w:tc>
        <w:tc>
          <w:tcPr>
            <w:tcW w:w="1059" w:type="dxa"/>
            <w:noWrap w:val="0"/>
            <w:vAlign w:val="top"/>
          </w:tcPr>
          <w:p w14:paraId="5ED63415">
            <w:pPr>
              <w:spacing w:line="360" w:lineRule="auto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396</w:t>
            </w:r>
          </w:p>
        </w:tc>
        <w:tc>
          <w:tcPr>
            <w:tcW w:w="541" w:type="dxa"/>
            <w:noWrap w:val="0"/>
            <w:vAlign w:val="top"/>
          </w:tcPr>
          <w:p w14:paraId="5F16234B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617" w:type="dxa"/>
            <w:noWrap w:val="0"/>
            <w:vAlign w:val="top"/>
          </w:tcPr>
          <w:p w14:paraId="0ECA89ED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</w:t>
            </w:r>
          </w:p>
        </w:tc>
        <w:tc>
          <w:tcPr>
            <w:tcW w:w="1183" w:type="dxa"/>
            <w:noWrap w:val="0"/>
            <w:vAlign w:val="top"/>
          </w:tcPr>
          <w:p w14:paraId="3335CCED">
            <w:pPr>
              <w:spacing w:line="360" w:lineRule="auto"/>
              <w:rPr>
                <w:rFonts w:ascii="Arial" w:hAnsi="Arial" w:eastAsia="幼圆" w:cs="Arial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</w:t>
            </w:r>
          </w:p>
        </w:tc>
        <w:tc>
          <w:tcPr>
            <w:tcW w:w="1467" w:type="dxa"/>
            <w:noWrap w:val="0"/>
            <w:vAlign w:val="top"/>
          </w:tcPr>
          <w:p w14:paraId="674B7CF0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</w:t>
            </w:r>
          </w:p>
        </w:tc>
        <w:tc>
          <w:tcPr>
            <w:tcW w:w="1083" w:type="dxa"/>
            <w:noWrap w:val="0"/>
            <w:vAlign w:val="top"/>
          </w:tcPr>
          <w:p w14:paraId="0A01B86C">
            <w:pPr>
              <w:spacing w:line="360" w:lineRule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3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65</w:t>
            </w:r>
          </w:p>
        </w:tc>
        <w:tc>
          <w:tcPr>
            <w:tcW w:w="1617" w:type="dxa"/>
            <w:noWrap w:val="0"/>
            <w:vAlign w:val="top"/>
          </w:tcPr>
          <w:p w14:paraId="0CC946A4">
            <w:pPr>
              <w:spacing w:line="360" w:lineRule="auto"/>
              <w:ind w:left="315" w:hanging="315" w:hangingChars="150"/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396</w:t>
            </w:r>
          </w:p>
        </w:tc>
      </w:tr>
      <w:tr w14:paraId="2BAC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top"/>
          </w:tcPr>
          <w:p w14:paraId="68F8FEA1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未预见用水量</w:t>
            </w:r>
          </w:p>
        </w:tc>
        <w:tc>
          <w:tcPr>
            <w:tcW w:w="1059" w:type="dxa"/>
            <w:noWrap w:val="0"/>
            <w:vAlign w:val="top"/>
          </w:tcPr>
          <w:p w14:paraId="55DB9676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------</w:t>
            </w:r>
          </w:p>
        </w:tc>
        <w:tc>
          <w:tcPr>
            <w:tcW w:w="541" w:type="dxa"/>
            <w:noWrap w:val="0"/>
            <w:vAlign w:val="top"/>
          </w:tcPr>
          <w:p w14:paraId="3CFF34AD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617" w:type="dxa"/>
            <w:noWrap w:val="0"/>
            <w:vAlign w:val="top"/>
          </w:tcPr>
          <w:p w14:paraId="29A61681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</w:t>
            </w:r>
          </w:p>
        </w:tc>
        <w:tc>
          <w:tcPr>
            <w:tcW w:w="1183" w:type="dxa"/>
            <w:noWrap w:val="0"/>
            <w:vAlign w:val="top"/>
          </w:tcPr>
          <w:p w14:paraId="41812D32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ascii="Arial" w:hAnsi="Arial" w:eastAsia="幼圆" w:cs="Arial"/>
                <w:color w:val="000000"/>
                <w:kern w:val="0"/>
                <w:sz w:val="21"/>
                <w:szCs w:val="21"/>
                <w:highlight w:val="none"/>
              </w:rPr>
              <w:t>L/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highlight w:val="none"/>
              </w:rPr>
              <w:t>㎡</w:t>
            </w: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highlight w:val="none"/>
              </w:rPr>
              <w:t xml:space="preserve"> ·d</w:t>
            </w:r>
            <w:r>
              <w:rPr>
                <w:rFonts w:hint="eastAsia" w:ascii="宋体" w:hAnsi="Arial" w:cs="宋体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67" w:type="dxa"/>
            <w:noWrap w:val="0"/>
            <w:vAlign w:val="top"/>
          </w:tcPr>
          <w:p w14:paraId="0392D189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</w:t>
            </w:r>
          </w:p>
        </w:tc>
        <w:tc>
          <w:tcPr>
            <w:tcW w:w="1083" w:type="dxa"/>
            <w:noWrap w:val="0"/>
            <w:vAlign w:val="top"/>
          </w:tcPr>
          <w:p w14:paraId="7D187047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----</w:t>
            </w:r>
          </w:p>
        </w:tc>
        <w:tc>
          <w:tcPr>
            <w:tcW w:w="1617" w:type="dxa"/>
            <w:noWrap w:val="0"/>
            <w:vAlign w:val="top"/>
          </w:tcPr>
          <w:p w14:paraId="1BC0D4C5">
            <w:pPr>
              <w:spacing w:line="360" w:lineRule="auto"/>
              <w:ind w:left="315" w:hanging="315" w:hangingChars="15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2673.75</w:t>
            </w:r>
          </w:p>
        </w:tc>
      </w:tr>
      <w:tr w14:paraId="71FA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top"/>
          </w:tcPr>
          <w:p w14:paraId="686C9CD7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用水量总计</w:t>
            </w:r>
          </w:p>
        </w:tc>
        <w:tc>
          <w:tcPr>
            <w:tcW w:w="1059" w:type="dxa"/>
            <w:noWrap w:val="0"/>
            <w:vAlign w:val="top"/>
          </w:tcPr>
          <w:p w14:paraId="18638F0B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top"/>
          </w:tcPr>
          <w:p w14:paraId="7DBECE5C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17" w:type="dxa"/>
            <w:noWrap w:val="0"/>
            <w:vAlign w:val="top"/>
          </w:tcPr>
          <w:p w14:paraId="400365B9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top"/>
          </w:tcPr>
          <w:p w14:paraId="2F3E4503">
            <w:pPr>
              <w:spacing w:line="360" w:lineRule="auto"/>
              <w:rPr>
                <w:rFonts w:ascii="Arial" w:hAnsi="Arial" w:eastAsia="幼圆" w:cs="Arial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 w:val="0"/>
            <w:vAlign w:val="top"/>
          </w:tcPr>
          <w:p w14:paraId="20EA4599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top"/>
          </w:tcPr>
          <w:p w14:paraId="287E82F2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top"/>
          </w:tcPr>
          <w:p w14:paraId="55BC6B2C">
            <w:pPr>
              <w:rPr>
                <w:rFonts w:hint="default" w:ascii="宋体" w:hAnsi="宋体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147601</w:t>
            </w:r>
          </w:p>
        </w:tc>
      </w:tr>
      <w:tr w14:paraId="4EBE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top"/>
          </w:tcPr>
          <w:p w14:paraId="470FE785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top"/>
          </w:tcPr>
          <w:p w14:paraId="79D0C21F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top"/>
          </w:tcPr>
          <w:p w14:paraId="63493FDD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17" w:type="dxa"/>
            <w:noWrap w:val="0"/>
            <w:vAlign w:val="top"/>
          </w:tcPr>
          <w:p w14:paraId="63C60727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top"/>
          </w:tcPr>
          <w:p w14:paraId="662E6373">
            <w:pPr>
              <w:spacing w:line="360" w:lineRule="auto"/>
              <w:rPr>
                <w:rFonts w:ascii="Arial" w:hAnsi="Arial" w:eastAsia="幼圆" w:cs="Arial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noWrap w:val="0"/>
            <w:vAlign w:val="top"/>
          </w:tcPr>
          <w:p w14:paraId="34CBDDF4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top"/>
          </w:tcPr>
          <w:p w14:paraId="771BF0B2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top"/>
          </w:tcPr>
          <w:p w14:paraId="58ECB1A4"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</w:tbl>
    <w:p w14:paraId="38C3D818">
      <w:pPr>
        <w:pStyle w:val="3"/>
        <w:rPr>
          <w:rFonts w:hint="eastAsia" w:ascii="Times New Roman" w:hAnsi="Times New Roman" w:eastAsia="宋体"/>
          <w:sz w:val="30"/>
          <w:szCs w:val="30"/>
          <w:highlight w:val="none"/>
          <w:lang w:val="en-US" w:eastAsia="zh-CN"/>
        </w:rPr>
      </w:pPr>
    </w:p>
    <w:p w14:paraId="00B3C04F">
      <w:pPr>
        <w:pStyle w:val="3"/>
        <w:rPr>
          <w:rFonts w:hint="eastAsia" w:ascii="Times New Roman" w:hAnsi="Times New Roman" w:eastAsia="宋体"/>
          <w:sz w:val="30"/>
          <w:szCs w:val="30"/>
          <w:highlight w:val="none"/>
        </w:rPr>
      </w:pPr>
      <w:r>
        <w:rPr>
          <w:rFonts w:hint="eastAsia" w:ascii="Times New Roman" w:hAnsi="Times New Roman" w:eastAsia="宋体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/>
          <w:sz w:val="30"/>
          <w:szCs w:val="30"/>
          <w:highlight w:val="none"/>
        </w:rPr>
        <w:t>节水策略</w:t>
      </w:r>
      <w:bookmarkEnd w:id="8"/>
    </w:p>
    <w:p w14:paraId="6FF56D62"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结合项目需求，制定节水措施。</w:t>
      </w:r>
    </w:p>
    <w:p w14:paraId="42116906">
      <w:pPr>
        <w:spacing w:line="400" w:lineRule="exact"/>
        <w:ind w:left="60" w:firstLine="36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1）给水系统选用密闭性能好的阀门、设备，优先采用软密封闸阀或蝶阀，避免管网漏损。</w:t>
      </w:r>
    </w:p>
    <w:p w14:paraId="12727EC1">
      <w:pPr>
        <w:spacing w:line="400" w:lineRule="exact"/>
        <w:ind w:left="60" w:firstLine="36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2）卫生洁具均要求选用节水型洁具及五金配件，所有用水器具应满足现行标准《节水型生活用水器具》CJT164-2014及《节水型产品通用技术条件》GB/T18870-2011要求。</w:t>
      </w:r>
    </w:p>
    <w:p w14:paraId="01F5E35C">
      <w:pPr>
        <w:spacing w:line="400" w:lineRule="exact"/>
        <w:ind w:left="60" w:firstLine="36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3）优先利用市政给水管网的压力直接供水，当给水管网的水压和水量不足时，根据经济节能的原则选用合理的加压供水方案，并满足各配水点处供水压力不大于0.2Mpa。</w:t>
      </w:r>
    </w:p>
    <w:p w14:paraId="63EDF7CF">
      <w:pPr>
        <w:spacing w:line="400" w:lineRule="exact"/>
        <w:ind w:left="60" w:firstLine="36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4）室外埋地管道采取有效的保护措施避免管网漏损，并结合建筑与给排水系统建设做好排水构件链接，避免构件出现渗水，确保建筑物给排水系统的正常。</w:t>
      </w:r>
    </w:p>
    <w:p w14:paraId="5EB3CCA0">
      <w:pPr>
        <w:spacing w:line="400" w:lineRule="exact"/>
        <w:ind w:left="60" w:firstLine="36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5）管材与管件连接的密封材料应卫生、严密、防腐、耐压、耐久；为避免重要物资和设备受潮引起的损失，应采取有效措施避免管道、阀门和设备的漏水、渗水或结露。</w:t>
      </w:r>
    </w:p>
    <w:p w14:paraId="460C864E">
      <w:pPr>
        <w:spacing w:line="400" w:lineRule="exact"/>
        <w:ind w:left="60" w:firstLine="36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6）选购质量好的管道材料，如：不锈钢管、钢塑或铝塑复合管等，这样的管道材料不易老化和锈蚀，进而延长了管道的使用年限，有效地缩减了管道的使用和更换成本，能够更好的改善管道漏水问题。</w:t>
      </w:r>
    </w:p>
    <w:p w14:paraId="03A09F32">
      <w:pPr>
        <w:pStyle w:val="3"/>
        <w:rPr>
          <w:rFonts w:ascii="Times New Roman" w:hAnsi="Times New Roman" w:eastAsia="宋体"/>
          <w:sz w:val="30"/>
          <w:szCs w:val="30"/>
          <w:highlight w:val="none"/>
        </w:rPr>
      </w:pPr>
      <w:bookmarkStart w:id="9" w:name="_Toc61956674"/>
      <w:r>
        <w:rPr>
          <w:rFonts w:hint="eastAsia" w:ascii="Times New Roman" w:hAnsi="Times New Roman" w:eastAsia="宋体"/>
          <w:sz w:val="30"/>
          <w:szCs w:val="30"/>
          <w:highlight w:val="none"/>
        </w:rPr>
        <w:t>五、给排水系统设计方案</w:t>
      </w:r>
      <w:bookmarkEnd w:id="9"/>
    </w:p>
    <w:p w14:paraId="3BA58190">
      <w:pPr>
        <w:pStyle w:val="4"/>
        <w:rPr>
          <w:rFonts w:ascii="Times New Roman" w:hAnsi="Times New Roman" w:eastAsia="宋体"/>
          <w:sz w:val="24"/>
          <w:szCs w:val="24"/>
          <w:highlight w:val="none"/>
        </w:rPr>
      </w:pPr>
      <w:bookmarkStart w:id="10" w:name="_Toc61956675"/>
      <w:r>
        <w:rPr>
          <w:rFonts w:hint="eastAsia" w:ascii="Times New Roman" w:hAnsi="Times New Roman" w:eastAsia="宋体"/>
          <w:sz w:val="24"/>
          <w:szCs w:val="24"/>
          <w:highlight w:val="none"/>
        </w:rPr>
        <w:t>5.1生活给水系统</w:t>
      </w:r>
      <w:bookmarkEnd w:id="10"/>
    </w:p>
    <w:p w14:paraId="77C0B539">
      <w:pPr>
        <w:spacing w:line="400" w:lineRule="exact"/>
        <w:ind w:left="60" w:firstLine="36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1）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水源：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市政给水</w:t>
      </w:r>
    </w:p>
    <w:p w14:paraId="2BCC28C7">
      <w:pPr>
        <w:spacing w:line="400" w:lineRule="exact"/>
        <w:ind w:left="60" w:firstLine="36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2）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供水分区：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1~3层为市政给水直供区，4~11层为加压低区，11层以上为加压高区。</w:t>
      </w:r>
    </w:p>
    <w:p w14:paraId="56280203">
      <w:pPr>
        <w:spacing w:line="400" w:lineRule="exact"/>
        <w:ind w:left="60" w:firstLine="36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3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减压措施：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每户阀后用水点压力大于0.2MPa需要设置减压阀。</w:t>
      </w:r>
    </w:p>
    <w:p w14:paraId="3945C35C">
      <w:pPr>
        <w:pStyle w:val="4"/>
        <w:rPr>
          <w:rFonts w:ascii="Times New Roman" w:hAnsi="Times New Roman" w:eastAsia="宋体"/>
          <w:sz w:val="24"/>
          <w:szCs w:val="24"/>
          <w:highlight w:val="none"/>
        </w:rPr>
      </w:pPr>
      <w:bookmarkStart w:id="11" w:name="_Toc61956676"/>
      <w:r>
        <w:rPr>
          <w:rFonts w:hint="eastAsia" w:ascii="Times New Roman" w:hAnsi="Times New Roman" w:eastAsia="宋体"/>
          <w:sz w:val="24"/>
          <w:szCs w:val="24"/>
          <w:highlight w:val="none"/>
        </w:rPr>
        <w:t>5.2生活排水系统</w:t>
      </w:r>
      <w:bookmarkEnd w:id="11"/>
    </w:p>
    <w:p w14:paraId="358E0502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bookmarkStart w:id="12" w:name="_Toc61956677"/>
      <w:r>
        <w:rPr>
          <w:rFonts w:hint="eastAsia" w:ascii="宋体" w:hAnsi="宋体"/>
          <w:sz w:val="24"/>
          <w:szCs w:val="24"/>
          <w:highlight w:val="none"/>
        </w:rPr>
        <w:t>（1）排水体制：排水采用雨、污分流制。</w:t>
      </w:r>
    </w:p>
    <w:p w14:paraId="68475EFD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（2）污水产生量：本项目污水主要包括生活污水，</w:t>
      </w:r>
    </w:p>
    <w:p w14:paraId="5C178F03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产生量按用水量的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0%计，为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.388*0.9=350</w:t>
      </w:r>
      <w:r>
        <w:rPr>
          <w:rFonts w:hint="eastAsia" w:ascii="宋体" w:hAnsi="宋体"/>
          <w:sz w:val="24"/>
          <w:szCs w:val="24"/>
          <w:highlight w:val="none"/>
        </w:rPr>
        <w:t>m³/d，</w:t>
      </w:r>
    </w:p>
    <w:p w14:paraId="0AA4A9EB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污水经化粪池预处理达到《污水排入城镇下水道水质标准》（CJ343-2010）及泰安市第二污水处理厂进水水质要求后，经市政污水管网排入泰安市第二污水处理厂处理，达《城镇污水处理厂污染物排放标准》（GB18918-2002)一级B类标准后排入市政污水厂。</w:t>
      </w:r>
    </w:p>
    <w:p w14:paraId="630BEA88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5</w:t>
      </w:r>
      <w:r>
        <w:rPr>
          <w:rFonts w:ascii="Times New Roman" w:hAnsi="Times New Roman" w:eastAsia="宋体"/>
          <w:sz w:val="24"/>
          <w:szCs w:val="24"/>
          <w:highlight w:val="none"/>
        </w:rPr>
        <w:t>.3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雨水排水系统</w:t>
      </w:r>
      <w:bookmarkEnd w:id="12"/>
      <w:bookmarkStart w:id="13" w:name="_Toc61956678"/>
    </w:p>
    <w:p w14:paraId="21330D9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建筑屋面雨水经过有组织收集排至室外雨水井。</w:t>
      </w:r>
    </w:p>
    <w:p w14:paraId="0C15686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室外道路边适当位置设置雨水口，收集道路、人行道、绿化等地面雨水。</w:t>
      </w:r>
    </w:p>
    <w:p w14:paraId="4373827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车行道采用雨水口收集雨水，多级台阶、车库入口、边坡与平地交界处采用截水暗沟收集雨水，人行道路采用雨水口和卵石暗沟收集雨水，车库顶上的种植区采用车库顶排水暗沟收集雨水，山体边坡下采用排水明沟收集雨水，通过排水沟连接，这些雨水以重力流方式和最短的距离排入就近的雨水管网，汇入湖泊。</w:t>
      </w:r>
    </w:p>
    <w:p w14:paraId="0D5085B5">
      <w:pPr>
        <w:pStyle w:val="4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5.4管材与配件</w:t>
      </w:r>
      <w:bookmarkEnd w:id="13"/>
    </w:p>
    <w:p w14:paraId="739BDA37">
      <w:pPr>
        <w:jc w:val="center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表 5.4</w:t>
      </w:r>
      <w:r>
        <w:rPr>
          <w:rFonts w:ascii="Times New Roman" w:hAnsi="Times New Roman" w:eastAsia="宋体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各类用水量估算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24B6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500DA15D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管道名称</w:t>
            </w:r>
          </w:p>
        </w:tc>
        <w:tc>
          <w:tcPr>
            <w:tcW w:w="1382" w:type="dxa"/>
            <w:vAlign w:val="center"/>
          </w:tcPr>
          <w:p w14:paraId="180E69B4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安装部位</w:t>
            </w:r>
          </w:p>
        </w:tc>
        <w:tc>
          <w:tcPr>
            <w:tcW w:w="1383" w:type="dxa"/>
            <w:vAlign w:val="center"/>
          </w:tcPr>
          <w:p w14:paraId="1422992D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管材</w:t>
            </w:r>
          </w:p>
        </w:tc>
        <w:tc>
          <w:tcPr>
            <w:tcW w:w="1383" w:type="dxa"/>
            <w:vAlign w:val="center"/>
          </w:tcPr>
          <w:p w14:paraId="48EFEDDD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连接方式</w:t>
            </w:r>
          </w:p>
        </w:tc>
        <w:tc>
          <w:tcPr>
            <w:tcW w:w="1383" w:type="dxa"/>
            <w:vAlign w:val="center"/>
          </w:tcPr>
          <w:p w14:paraId="65047F46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工作压力（MPa）</w:t>
            </w:r>
          </w:p>
        </w:tc>
        <w:tc>
          <w:tcPr>
            <w:tcW w:w="1383" w:type="dxa"/>
            <w:vAlign w:val="center"/>
          </w:tcPr>
          <w:p w14:paraId="4E03C0D4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备注</w:t>
            </w:r>
          </w:p>
        </w:tc>
      </w:tr>
      <w:tr w14:paraId="3120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264ACE0F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给水</w:t>
            </w:r>
          </w:p>
        </w:tc>
        <w:tc>
          <w:tcPr>
            <w:tcW w:w="1382" w:type="dxa"/>
            <w:vAlign w:val="center"/>
          </w:tcPr>
          <w:p w14:paraId="33D04DE0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干管、立管</w:t>
            </w:r>
          </w:p>
        </w:tc>
        <w:tc>
          <w:tcPr>
            <w:tcW w:w="1383" w:type="dxa"/>
            <w:vAlign w:val="center"/>
          </w:tcPr>
          <w:p w14:paraId="3622EC6E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内衬塑钢管</w:t>
            </w:r>
          </w:p>
        </w:tc>
        <w:tc>
          <w:tcPr>
            <w:tcW w:w="1383" w:type="dxa"/>
            <w:vAlign w:val="center"/>
          </w:tcPr>
          <w:p w14:paraId="55CC25BC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丝接或</w:t>
            </w:r>
          </w:p>
          <w:p w14:paraId="2741BD83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法兰接</w:t>
            </w:r>
          </w:p>
        </w:tc>
        <w:tc>
          <w:tcPr>
            <w:tcW w:w="1383" w:type="dxa"/>
            <w:vAlign w:val="center"/>
          </w:tcPr>
          <w:p w14:paraId="22E33E75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1.0MPa</w:t>
            </w:r>
          </w:p>
        </w:tc>
        <w:tc>
          <w:tcPr>
            <w:tcW w:w="1383" w:type="dxa"/>
            <w:vAlign w:val="center"/>
          </w:tcPr>
          <w:p w14:paraId="033124F3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  <w:tr w14:paraId="4C8F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3DFC5A72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bookmarkStart w:id="14" w:name="_Toc61956679"/>
          </w:p>
        </w:tc>
        <w:tc>
          <w:tcPr>
            <w:tcW w:w="1382" w:type="dxa"/>
            <w:vAlign w:val="center"/>
          </w:tcPr>
          <w:p w14:paraId="0B10600E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支管</w:t>
            </w:r>
          </w:p>
        </w:tc>
        <w:tc>
          <w:tcPr>
            <w:tcW w:w="1383" w:type="dxa"/>
            <w:vAlign w:val="center"/>
          </w:tcPr>
          <w:p w14:paraId="23840E7E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PPR</w:t>
            </w:r>
          </w:p>
        </w:tc>
        <w:tc>
          <w:tcPr>
            <w:tcW w:w="1383" w:type="dxa"/>
            <w:vAlign w:val="center"/>
          </w:tcPr>
          <w:p w14:paraId="448C70EF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热熔</w:t>
            </w:r>
          </w:p>
        </w:tc>
        <w:tc>
          <w:tcPr>
            <w:tcW w:w="1383" w:type="dxa"/>
            <w:vAlign w:val="center"/>
          </w:tcPr>
          <w:p w14:paraId="3CDB9805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S4</w:t>
            </w:r>
          </w:p>
        </w:tc>
        <w:tc>
          <w:tcPr>
            <w:tcW w:w="1383" w:type="dxa"/>
            <w:vAlign w:val="center"/>
          </w:tcPr>
          <w:p w14:paraId="2335C07A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  <w:tr w14:paraId="4212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500CFECB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排水</w:t>
            </w:r>
          </w:p>
        </w:tc>
        <w:tc>
          <w:tcPr>
            <w:tcW w:w="1382" w:type="dxa"/>
            <w:vAlign w:val="center"/>
          </w:tcPr>
          <w:p w14:paraId="3B4ADF78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卫生间排水立管</w:t>
            </w:r>
          </w:p>
        </w:tc>
        <w:tc>
          <w:tcPr>
            <w:tcW w:w="1383" w:type="dxa"/>
            <w:vAlign w:val="center"/>
          </w:tcPr>
          <w:p w14:paraId="3C236A6B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UPVC加强型内螺旋消音管</w:t>
            </w:r>
          </w:p>
        </w:tc>
        <w:tc>
          <w:tcPr>
            <w:tcW w:w="1383" w:type="dxa"/>
            <w:vAlign w:val="center"/>
          </w:tcPr>
          <w:p w14:paraId="65CF2109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特殊管件</w:t>
            </w:r>
          </w:p>
        </w:tc>
        <w:tc>
          <w:tcPr>
            <w:tcW w:w="1383" w:type="dxa"/>
            <w:vAlign w:val="center"/>
          </w:tcPr>
          <w:p w14:paraId="432791F8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5E34086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  <w:tr w14:paraId="3561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35CA58DA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EF91BB7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厨房阳台立管</w:t>
            </w:r>
          </w:p>
        </w:tc>
        <w:tc>
          <w:tcPr>
            <w:tcW w:w="1383" w:type="dxa"/>
            <w:vAlign w:val="center"/>
          </w:tcPr>
          <w:p w14:paraId="76FFD6EC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UPVC</w:t>
            </w:r>
          </w:p>
        </w:tc>
        <w:tc>
          <w:tcPr>
            <w:tcW w:w="1383" w:type="dxa"/>
            <w:vAlign w:val="center"/>
          </w:tcPr>
          <w:p w14:paraId="42560A22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粘接</w:t>
            </w:r>
          </w:p>
        </w:tc>
        <w:tc>
          <w:tcPr>
            <w:tcW w:w="1383" w:type="dxa"/>
            <w:vAlign w:val="center"/>
          </w:tcPr>
          <w:p w14:paraId="033A8543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6DDE299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  <w:tr w14:paraId="13BF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6DC7A7C3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雨水</w:t>
            </w:r>
          </w:p>
        </w:tc>
        <w:tc>
          <w:tcPr>
            <w:tcW w:w="1382" w:type="dxa"/>
            <w:vAlign w:val="center"/>
          </w:tcPr>
          <w:p w14:paraId="5122023B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立管</w:t>
            </w:r>
          </w:p>
        </w:tc>
        <w:tc>
          <w:tcPr>
            <w:tcW w:w="1383" w:type="dxa"/>
            <w:vAlign w:val="center"/>
          </w:tcPr>
          <w:p w14:paraId="47424ACD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PVC-U</w:t>
            </w:r>
          </w:p>
        </w:tc>
        <w:tc>
          <w:tcPr>
            <w:tcW w:w="1383" w:type="dxa"/>
            <w:vAlign w:val="center"/>
          </w:tcPr>
          <w:p w14:paraId="64F1C434"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承插式胶粘连接</w:t>
            </w:r>
          </w:p>
        </w:tc>
        <w:tc>
          <w:tcPr>
            <w:tcW w:w="1383" w:type="dxa"/>
            <w:vAlign w:val="center"/>
          </w:tcPr>
          <w:p w14:paraId="240CCEEF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1.0MPa</w:t>
            </w:r>
          </w:p>
        </w:tc>
        <w:tc>
          <w:tcPr>
            <w:tcW w:w="1383" w:type="dxa"/>
            <w:vAlign w:val="center"/>
          </w:tcPr>
          <w:p w14:paraId="75B0A787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  <w:bookmarkEnd w:id="14"/>
    </w:tbl>
    <w:p w14:paraId="3C543676">
      <w:pPr>
        <w:spacing w:line="360" w:lineRule="auto"/>
        <w:rPr>
          <w:rFonts w:hint="eastAsia" w:ascii="宋体" w:hAnsi="宋体"/>
          <w:b/>
          <w:bCs/>
          <w:sz w:val="24"/>
          <w:szCs w:val="24"/>
          <w:highlight w:val="none"/>
        </w:rPr>
      </w:pPr>
      <w:bookmarkStart w:id="15" w:name="_Toc61956680"/>
    </w:p>
    <w:p w14:paraId="63333B8B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5.5节水灌溉</w:t>
      </w:r>
    </w:p>
    <w:p w14:paraId="067F8F2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绿化灌溉采用喷灌的高效节水灌溉方式，能有效的达到节水的目的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</w:p>
    <w:p w14:paraId="7A9D23BB">
      <w:pPr>
        <w:pStyle w:val="4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5.6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其他节水保证措施</w:t>
      </w:r>
    </w:p>
    <w:p w14:paraId="5CD6CDFF">
      <w:pPr>
        <w:spacing w:line="360" w:lineRule="auto"/>
        <w:ind w:firstLine="480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给水选用高效低耗的设备如变频供水设备、高效水泵等。每楼设置室外用水计量水表。选用性能高的阀门、零泄漏阀门避免管道渗漏。</w:t>
      </w:r>
    </w:p>
    <w:p w14:paraId="27A7824D">
      <w:pPr>
        <w:pStyle w:val="4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5.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卫生洁具及附件</w:t>
      </w:r>
      <w:bookmarkEnd w:id="15"/>
    </w:p>
    <w:p w14:paraId="5E4F117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bookmarkStart w:id="16" w:name="_Toc61956681"/>
      <w:r>
        <w:rPr>
          <w:rFonts w:hint="eastAsia" w:ascii="宋体" w:hAnsi="宋体"/>
          <w:sz w:val="24"/>
          <w:szCs w:val="24"/>
          <w:highlight w:val="none"/>
        </w:rPr>
        <w:t>本项目为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全装修</w:t>
      </w:r>
      <w:r>
        <w:rPr>
          <w:rFonts w:hint="eastAsia" w:ascii="宋体" w:hAnsi="宋体"/>
          <w:sz w:val="24"/>
          <w:szCs w:val="24"/>
          <w:highlight w:val="none"/>
        </w:rPr>
        <w:t>房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全部</w:t>
      </w:r>
      <w:r>
        <w:rPr>
          <w:rFonts w:hint="eastAsia" w:ascii="宋体" w:hAnsi="宋体"/>
          <w:sz w:val="24"/>
          <w:szCs w:val="24"/>
          <w:highlight w:val="none"/>
        </w:rPr>
        <w:t>采用节水器具，所有用水器具应满足《节水型生活用水器具》CJ 164  及《节水型产品技术条件与管理通则》GB18870  的要求。具体节水器具有下列几种：</w:t>
      </w:r>
    </w:p>
    <w:tbl>
      <w:tblPr>
        <w:tblStyle w:val="12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3889"/>
        <w:gridCol w:w="1704"/>
      </w:tblGrid>
      <w:tr w14:paraId="0096D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640530F7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节水器具名称</w:t>
            </w:r>
          </w:p>
        </w:tc>
        <w:tc>
          <w:tcPr>
            <w:tcW w:w="3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41AE520B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节水器具主要特点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230D6C56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节水率</w:t>
            </w:r>
          </w:p>
        </w:tc>
      </w:tr>
      <w:tr w14:paraId="322D8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390A4FAF">
            <w:pPr>
              <w:pStyle w:val="11"/>
              <w:widowControl/>
              <w:rPr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大</w:t>
            </w:r>
            <w:r>
              <w:rPr>
                <w:color w:val="000000"/>
                <w:sz w:val="20"/>
                <w:szCs w:val="20"/>
                <w:highlight w:val="none"/>
              </w:rPr>
              <w:t>便器</w:t>
            </w:r>
          </w:p>
        </w:tc>
        <w:tc>
          <w:tcPr>
            <w:tcW w:w="3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6A937866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3L、6L大小水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702A9FC0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不小于8%</w:t>
            </w:r>
          </w:p>
        </w:tc>
      </w:tr>
      <w:tr w14:paraId="1C138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27A1C919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洗手盆</w:t>
            </w:r>
          </w:p>
        </w:tc>
        <w:tc>
          <w:tcPr>
            <w:tcW w:w="3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76157546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具有感应功能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4C2C6EF9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不小于8%</w:t>
            </w:r>
          </w:p>
        </w:tc>
      </w:tr>
      <w:tr w14:paraId="6DC3E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42644807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小便器</w:t>
            </w:r>
          </w:p>
        </w:tc>
        <w:tc>
          <w:tcPr>
            <w:tcW w:w="3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37DC46EC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具有感应功能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43209E8B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不小于8%</w:t>
            </w:r>
          </w:p>
        </w:tc>
      </w:tr>
      <w:tr w14:paraId="3B4E0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7AC97489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加气节水龙头</w:t>
            </w:r>
          </w:p>
        </w:tc>
        <w:tc>
          <w:tcPr>
            <w:tcW w:w="3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1F8BF207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\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7AC594E1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不小于8%</w:t>
            </w:r>
          </w:p>
        </w:tc>
      </w:tr>
      <w:tr w14:paraId="67A98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19C5F796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陶瓷阀芯水龙头</w:t>
            </w:r>
          </w:p>
        </w:tc>
        <w:tc>
          <w:tcPr>
            <w:tcW w:w="3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15159B1E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长寿命、不堵塞、不用滤网、不用清洗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47DABBF7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不小于8%</w:t>
            </w:r>
          </w:p>
        </w:tc>
      </w:tr>
      <w:tr w14:paraId="6BEE8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606D42DE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停水自动关闭水龙头</w:t>
            </w:r>
          </w:p>
        </w:tc>
        <w:tc>
          <w:tcPr>
            <w:tcW w:w="3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72C66725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\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80" w:type="dxa"/>
              <w:left w:w="180" w:type="dxa"/>
              <w:bottom w:w="80" w:type="dxa"/>
              <w:right w:w="180" w:type="dxa"/>
            </w:tcMar>
            <w:vAlign w:val="top"/>
          </w:tcPr>
          <w:p w14:paraId="6B48465D">
            <w:pPr>
              <w:pStyle w:val="11"/>
              <w:widowControl/>
              <w:rPr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不小于8%</w:t>
            </w:r>
          </w:p>
        </w:tc>
      </w:tr>
    </w:tbl>
    <w:p w14:paraId="028FFE58">
      <w:pPr>
        <w:pStyle w:val="3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六、非传统水源利用方案</w:t>
      </w:r>
      <w:bookmarkEnd w:id="16"/>
    </w:p>
    <w:p w14:paraId="4B4518A7">
      <w:pPr>
        <w:pStyle w:val="3"/>
        <w:rPr>
          <w:rFonts w:hint="default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17" w:name="_Toc61956682"/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本项目中水接自市政中水，污水经集中排至市政中水处理站处理后，用于小区内车库冲洗地面、洗车等。中水系统竖向不分区，供水压力为0.35MPa。</w:t>
      </w:r>
    </w:p>
    <w:p w14:paraId="2DFAFC2D">
      <w:pPr>
        <w:pStyle w:val="3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七、水量平衡</w:t>
      </w:r>
      <w:bookmarkEnd w:id="17"/>
    </w:p>
    <w:p w14:paraId="72A23D08">
      <w:pPr>
        <w:jc w:val="center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表 7-1</w:t>
      </w:r>
      <w:r>
        <w:rPr>
          <w:rFonts w:ascii="Times New Roman" w:hAnsi="Times New Roman" w:eastAsia="宋体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水量平衡计算表（单位：m³）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8"/>
        <w:gridCol w:w="948"/>
        <w:gridCol w:w="948"/>
        <w:gridCol w:w="870"/>
        <w:gridCol w:w="870"/>
        <w:gridCol w:w="870"/>
        <w:gridCol w:w="948"/>
      </w:tblGrid>
      <w:tr w14:paraId="50F7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 w14:paraId="5B662F2C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用水类别</w:t>
            </w:r>
          </w:p>
        </w:tc>
        <w:tc>
          <w:tcPr>
            <w:tcW w:w="947" w:type="dxa"/>
            <w:vAlign w:val="center"/>
          </w:tcPr>
          <w:p w14:paraId="5FE4C9C8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年用水量</w:t>
            </w:r>
          </w:p>
        </w:tc>
        <w:tc>
          <w:tcPr>
            <w:tcW w:w="948" w:type="dxa"/>
            <w:vAlign w:val="center"/>
          </w:tcPr>
          <w:p w14:paraId="25AF4E01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非传统水源利用</w:t>
            </w:r>
          </w:p>
        </w:tc>
        <w:tc>
          <w:tcPr>
            <w:tcW w:w="948" w:type="dxa"/>
            <w:vAlign w:val="center"/>
          </w:tcPr>
          <w:p w14:paraId="2303C3A5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新水用水量</w:t>
            </w:r>
          </w:p>
        </w:tc>
        <w:tc>
          <w:tcPr>
            <w:tcW w:w="948" w:type="dxa"/>
            <w:vAlign w:val="center"/>
          </w:tcPr>
          <w:p w14:paraId="1FA00C76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耗水量</w:t>
            </w:r>
          </w:p>
        </w:tc>
        <w:tc>
          <w:tcPr>
            <w:tcW w:w="870" w:type="dxa"/>
            <w:vAlign w:val="center"/>
          </w:tcPr>
          <w:p w14:paraId="7E63E0AB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排水量</w:t>
            </w:r>
          </w:p>
        </w:tc>
        <w:tc>
          <w:tcPr>
            <w:tcW w:w="870" w:type="dxa"/>
            <w:vAlign w:val="center"/>
          </w:tcPr>
          <w:p w14:paraId="03DB8348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污水量</w:t>
            </w:r>
          </w:p>
        </w:tc>
        <w:tc>
          <w:tcPr>
            <w:tcW w:w="870" w:type="dxa"/>
            <w:vAlign w:val="center"/>
          </w:tcPr>
          <w:p w14:paraId="56382B1B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废水量</w:t>
            </w:r>
          </w:p>
        </w:tc>
        <w:tc>
          <w:tcPr>
            <w:tcW w:w="948" w:type="dxa"/>
            <w:vAlign w:val="center"/>
          </w:tcPr>
          <w:p w14:paraId="1AC4C9BE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备注</w:t>
            </w:r>
          </w:p>
        </w:tc>
      </w:tr>
      <w:tr w14:paraId="4443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 w14:paraId="1E65259C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vAlign w:val="center"/>
          </w:tcPr>
          <w:p w14:paraId="369FD336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4799AAB8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2F195007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0EE3E75F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3683736B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4AB8E64E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2AFE0029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6085EAAF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  <w:tr w14:paraId="292B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 w14:paraId="28B2B3EF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vAlign w:val="center"/>
          </w:tcPr>
          <w:p w14:paraId="31C73B9C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675F2555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2579852D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1E62A355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3F957EC7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2AFD47B4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1EC31869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44487F0E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  <w:tr w14:paraId="27B1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 w14:paraId="711C1629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vAlign w:val="center"/>
          </w:tcPr>
          <w:p w14:paraId="10A3350B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52827916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5776423A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575A5A36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3C019F5D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6A66A550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0FE4EDDA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128C5504">
            <w:pPr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</w:tr>
    </w:tbl>
    <w:p w14:paraId="2614C5C3">
      <w:pPr>
        <w:rPr>
          <w:rFonts w:ascii="Times New Roman" w:hAnsi="Times New Roman" w:eastAsia="宋体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72C4D"/>
    <w:multiLevelType w:val="multilevel"/>
    <w:tmpl w:val="1B972C4D"/>
    <w:lvl w:ilvl="0" w:tentative="0">
      <w:start w:val="1"/>
      <w:numFmt w:val="bullet"/>
      <w:lvlText w:val=""/>
      <w:lvlJc w:val="left"/>
      <w:pPr>
        <w:ind w:left="73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abstractNum w:abstractNumId="1">
    <w:nsid w:val="29E9187F"/>
    <w:multiLevelType w:val="multilevel"/>
    <w:tmpl w:val="29E9187F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72"/>
    <w:rsid w:val="00033123"/>
    <w:rsid w:val="001C7CE7"/>
    <w:rsid w:val="00242E1E"/>
    <w:rsid w:val="0025039F"/>
    <w:rsid w:val="00251704"/>
    <w:rsid w:val="002832C3"/>
    <w:rsid w:val="00301F1B"/>
    <w:rsid w:val="00336D09"/>
    <w:rsid w:val="00364168"/>
    <w:rsid w:val="003D6020"/>
    <w:rsid w:val="003E624D"/>
    <w:rsid w:val="004F46F2"/>
    <w:rsid w:val="00636572"/>
    <w:rsid w:val="006D31DD"/>
    <w:rsid w:val="006F401D"/>
    <w:rsid w:val="00816E14"/>
    <w:rsid w:val="00874B4B"/>
    <w:rsid w:val="008F701E"/>
    <w:rsid w:val="009A7D34"/>
    <w:rsid w:val="009E4975"/>
    <w:rsid w:val="00A347B5"/>
    <w:rsid w:val="00A51128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  <w:rsid w:val="053D54CC"/>
    <w:rsid w:val="21F308B0"/>
    <w:rsid w:val="25605979"/>
    <w:rsid w:val="25F9440A"/>
    <w:rsid w:val="2AC84DE0"/>
    <w:rsid w:val="2EF63EAC"/>
    <w:rsid w:val="30B35317"/>
    <w:rsid w:val="32B556E9"/>
    <w:rsid w:val="330674E5"/>
    <w:rsid w:val="386C7DF1"/>
    <w:rsid w:val="3A876661"/>
    <w:rsid w:val="48C65699"/>
    <w:rsid w:val="491F4817"/>
    <w:rsid w:val="4EEE4370"/>
    <w:rsid w:val="57AB1345"/>
    <w:rsid w:val="57B8376D"/>
    <w:rsid w:val="5BDD7C46"/>
    <w:rsid w:val="63A35A28"/>
    <w:rsid w:val="65006754"/>
    <w:rsid w:val="671B5B06"/>
    <w:rsid w:val="6A5D2190"/>
    <w:rsid w:val="71F40983"/>
    <w:rsid w:val="735F6B6B"/>
    <w:rsid w:val="73CA56FA"/>
    <w:rsid w:val="7932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styleId="19">
    <w:name w:val="Placeholder Text"/>
    <w:basedOn w:val="14"/>
    <w:semiHidden/>
    <w:qFormat/>
    <w:uiPriority w:val="99"/>
    <w:rPr>
      <w:color w:val="808080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2">
    <w:name w:val="正文文本 Char"/>
    <w:basedOn w:val="14"/>
    <w:link w:val="5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23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5">
    <w:name w:val="批注框文本 Char"/>
    <w:basedOn w:val="14"/>
    <w:link w:val="7"/>
    <w:semiHidden/>
    <w:qFormat/>
    <w:uiPriority w:val="99"/>
    <w:rPr>
      <w:sz w:val="18"/>
      <w:szCs w:val="18"/>
    </w:rPr>
  </w:style>
  <w:style w:type="table" w:customStyle="1" w:styleId="26">
    <w:name w:val="网格型1"/>
    <w:basedOn w:val="12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3577</Words>
  <Characters>4244</Characters>
  <Lines>28</Lines>
  <Paragraphs>7</Paragraphs>
  <TotalTime>0</TotalTime>
  <ScaleCrop>false</ScaleCrop>
  <LinksUpToDate>false</LinksUpToDate>
  <CharactersWithSpaces>4331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2021-11-17T06:47:00Z</dcterms:created>
  <dc:creator>Administrator</dc:creator>
  <cp:lastModifiedBy>友誼</cp:lastModifiedBy>
  <dcterms:modified xsi:type="dcterms:W3CDTF">2025-08-18T02:42:25Z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eyJoZGlkIjoiNDc2ZDFiOWVlMjdkYjI2MDhhMWNjOWEwMGJiODFmYWEiLCJ1c2VySWQiOiI0MDM1NDI5MDIifQ==</vt:lpwstr>
  </property>
  <property fmtid="{D5CDD505-2E9C-101B-9397-08002B2CF9AE}" pid="3" name="KSOProductBuildVer">
    <vt:lpwstr>2052-12.1.0.21911</vt:lpwstr>
  </property>
  <property fmtid="{D5CDD505-2E9C-101B-9397-08002B2CF9AE}" pid="4" name="ICV">
    <vt:lpwstr>6E4978F039A94715B6063389C8DEC175_12</vt:lpwstr>
  </property>
</Properties>
</file>