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36D439">
      <w:pPr>
        <w:rPr>
          <w:rFonts w:hint="eastAsia" w:ascii="宋体" w:hAnsi="宋体" w:eastAsia="宋体" w:cs="宋体"/>
          <w:b/>
          <w:bCs/>
          <w:i w:val="0"/>
          <w:iCs w:val="0"/>
          <w:caps w:val="0"/>
          <w:spacing w:val="0"/>
          <w:sz w:val="36"/>
          <w:szCs w:val="36"/>
          <w:shd w:val="clear" w:fill="FFFFFF"/>
        </w:rPr>
      </w:pPr>
      <w:r>
        <w:rPr>
          <w:rFonts w:hint="eastAsia" w:ascii="宋体" w:hAnsi="宋体" w:eastAsia="宋体" w:cs="宋体"/>
          <w:b/>
          <w:bCs/>
          <w:i w:val="0"/>
          <w:iCs w:val="0"/>
          <w:caps w:val="0"/>
          <w:spacing w:val="0"/>
          <w:sz w:val="36"/>
          <w:szCs w:val="36"/>
          <w:shd w:val="clear" w:fill="FFFFFF"/>
        </w:rPr>
        <w:t>绿色技术应用</w:t>
      </w:r>
      <w:r>
        <w:rPr>
          <w:rFonts w:hint="eastAsia" w:ascii="宋体" w:hAnsi="宋体" w:eastAsia="宋体" w:cs="宋体"/>
          <w:b/>
          <w:bCs/>
          <w:i w:val="0"/>
          <w:iCs w:val="0"/>
          <w:caps w:val="0"/>
          <w:spacing w:val="0"/>
          <w:sz w:val="36"/>
          <w:szCs w:val="36"/>
          <w:shd w:val="clear" w:fill="FFFFFF"/>
          <w:lang w:eastAsia="zh-CN"/>
        </w:rPr>
        <w:t>——</w:t>
      </w:r>
      <w:r>
        <w:rPr>
          <w:rFonts w:hint="eastAsia" w:ascii="宋体" w:hAnsi="宋体" w:eastAsia="宋体" w:cs="宋体"/>
          <w:b/>
          <w:bCs/>
          <w:i w:val="0"/>
          <w:iCs w:val="0"/>
          <w:caps w:val="0"/>
          <w:spacing w:val="0"/>
          <w:sz w:val="36"/>
          <w:szCs w:val="36"/>
          <w:shd w:val="clear" w:fill="FFFFFF"/>
        </w:rPr>
        <w:t>微</w:t>
      </w:r>
      <w:r>
        <w:rPr>
          <w:rFonts w:hint="eastAsia" w:ascii="宋体" w:hAnsi="宋体" w:eastAsia="宋体" w:cs="宋体"/>
          <w:b/>
          <w:bCs/>
          <w:i w:val="0"/>
          <w:iCs w:val="0"/>
          <w:caps w:val="0"/>
          <w:spacing w:val="0"/>
          <w:sz w:val="36"/>
          <w:szCs w:val="36"/>
          <w:shd w:val="clear" w:fill="FFFFFF"/>
        </w:rPr>
        <w:t>藻幕墙</w:t>
      </w:r>
    </w:p>
    <w:p w14:paraId="514D5461">
      <w:pPr>
        <w:rPr>
          <w:rFonts w:hint="eastAsia" w:ascii="宋体" w:hAnsi="宋体" w:eastAsia="宋体" w:cs="宋体"/>
          <w:b/>
          <w:bCs/>
        </w:rPr>
      </w:pPr>
    </w:p>
    <w:p w14:paraId="780221DD">
      <w:pPr>
        <w:ind w:firstLine="420" w:firstLineChars="200"/>
      </w:pPr>
      <w:r>
        <w:drawing>
          <wp:inline distT="0" distB="0" distL="114300" distR="114300">
            <wp:extent cx="5271135" cy="4766945"/>
            <wp:effectExtent l="0" t="0" r="1206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4766945"/>
                    </a:xfrm>
                    <a:prstGeom prst="rect">
                      <a:avLst/>
                    </a:prstGeom>
                    <a:noFill/>
                    <a:ln>
                      <a:noFill/>
                    </a:ln>
                  </pic:spPr>
                </pic:pic>
              </a:graphicData>
            </a:graphic>
          </wp:inline>
        </w:drawing>
      </w:r>
    </w:p>
    <w:p w14:paraId="3136593A">
      <w:pPr>
        <w:ind w:firstLine="420" w:firstLineChars="200"/>
        <w:jc w:val="center"/>
        <w:rPr>
          <w:rFonts w:hint="default" w:eastAsiaTheme="minorEastAsia"/>
          <w:lang w:val="en-US" w:eastAsia="zh-CN"/>
        </w:rPr>
      </w:pPr>
      <w:r>
        <w:rPr>
          <w:rFonts w:hint="eastAsia"/>
          <w:lang w:val="en-US" w:eastAsia="zh-CN"/>
        </w:rPr>
        <w:t>图1 微藻幕墙原理图</w:t>
      </w:r>
    </w:p>
    <w:p w14:paraId="1E42E1FF">
      <w:pPr>
        <w:ind w:firstLine="422" w:firstLineChars="200"/>
        <w:rPr>
          <w:rFonts w:hint="eastAsia" w:ascii="宋体" w:hAnsi="宋体" w:eastAsia="宋体" w:cs="宋体"/>
        </w:rPr>
      </w:pPr>
      <w:r>
        <w:rPr>
          <w:rFonts w:hint="eastAsia" w:ascii="宋体" w:hAnsi="宋体" w:eastAsia="宋体" w:cs="宋体"/>
          <w:b/>
          <w:bCs/>
        </w:rPr>
        <w:t>微藻幕墙</w:t>
      </w:r>
      <w:r>
        <w:rPr>
          <w:rFonts w:hint="eastAsia" w:ascii="宋体" w:hAnsi="宋体" w:eastAsia="宋体" w:cs="宋体"/>
        </w:rPr>
        <w:t>工作原理:在幕墙顶部灌注含有微藻的藻液，通过控制藻液与纯净水的配比，可以调节藻类的浓度，从而改变其颜色，形成丰富多彩的视觉效果。同时，含有CO2的空气从底部注入，被微藻吸收利用，产生的氧气则被泵入暖通空调系统。同时，该系统允许人们对藻类进行回收，具体而言，吸收了碳的微藻下沉并通过底部的管道排出并转移至脱水系统，脱水后的藻类用于藻类副产品的生产或重新输入该系统中实现藻类的循环利用。</w:t>
      </w:r>
    </w:p>
    <w:p w14:paraId="69E82923">
      <w:pPr>
        <w:rPr>
          <w:rFonts w:hint="eastAsia" w:ascii="宋体" w:hAnsi="宋体" w:eastAsia="宋体" w:cs="宋体"/>
          <w:b/>
          <w:bCs/>
          <w:sz w:val="28"/>
          <w:szCs w:val="36"/>
        </w:rPr>
      </w:pPr>
      <w:r>
        <w:rPr>
          <w:rFonts w:hint="eastAsia" w:ascii="宋体" w:hAnsi="宋体" w:eastAsia="宋体" w:cs="宋体"/>
          <w:b/>
          <w:bCs/>
          <w:sz w:val="28"/>
          <w:szCs w:val="36"/>
          <w:lang w:val="en-US" w:eastAsia="zh-CN"/>
        </w:rPr>
        <w:t>一、</w:t>
      </w:r>
      <w:r>
        <w:rPr>
          <w:rFonts w:hint="eastAsia" w:ascii="宋体" w:hAnsi="宋体" w:eastAsia="宋体" w:cs="宋体"/>
          <w:b/>
          <w:bCs/>
          <w:sz w:val="28"/>
          <w:szCs w:val="36"/>
        </w:rPr>
        <w:t>微藻幕墙的核心优点</w:t>
      </w:r>
    </w:p>
    <w:p w14:paraId="12B4E4DD">
      <w:pPr>
        <w:rPr>
          <w:rFonts w:hint="eastAsia" w:ascii="宋体" w:hAnsi="宋体" w:eastAsia="宋体" w:cs="宋体"/>
          <w:b/>
          <w:bCs/>
        </w:rPr>
      </w:pPr>
      <w:r>
        <w:rPr>
          <w:rFonts w:hint="eastAsia" w:ascii="宋体" w:hAnsi="宋体" w:eastAsia="宋体" w:cs="宋体"/>
          <w:b/>
          <w:bCs/>
        </w:rPr>
        <w:t>1.极强的生态环保功能</w:t>
      </w:r>
    </w:p>
    <w:p w14:paraId="02EB3062">
      <w:pPr>
        <w:ind w:firstLine="420" w:firstLineChars="200"/>
        <w:rPr>
          <w:rFonts w:hint="eastAsia" w:ascii="宋体" w:hAnsi="宋体" w:eastAsia="宋体" w:cs="宋体"/>
        </w:rPr>
      </w:pPr>
      <w:r>
        <w:rPr>
          <w:rFonts w:hint="eastAsia" w:ascii="宋体" w:hAnsi="宋体" w:eastAsia="宋体" w:cs="宋体"/>
        </w:rPr>
        <w:t>固碳释氧：微藻的光合作用效率是陆生植物的10~50倍，1㎡微藻幕墙每天可吸收约1.5kg二氧化碳，释放1kg氧气，相当于10棵成年乔木的固碳量，能有效降低建筑周边的碳排放浓度。</w:t>
      </w:r>
    </w:p>
    <w:p w14:paraId="49FFD599">
      <w:pPr>
        <w:ind w:firstLine="420" w:firstLineChars="200"/>
        <w:rPr>
          <w:rFonts w:hint="eastAsia" w:ascii="宋体" w:hAnsi="宋体" w:eastAsia="宋体" w:cs="宋体"/>
        </w:rPr>
      </w:pPr>
      <w:r>
        <w:rPr>
          <w:rFonts w:hint="eastAsia" w:ascii="宋体" w:hAnsi="宋体" w:eastAsia="宋体" w:cs="宋体"/>
        </w:rPr>
        <w:t>空气净化：部分藻种（如小球藻）可吸附空气中的甲醛、PM2.5等污染物，结合幕墙的空气流通设计，能辅助改善建筑室内外空气质量。</w:t>
      </w:r>
    </w:p>
    <w:p w14:paraId="537E95B3">
      <w:pPr>
        <w:ind w:firstLine="420" w:firstLineChars="200"/>
        <w:rPr>
          <w:rFonts w:hint="eastAsia" w:ascii="宋体" w:hAnsi="宋体" w:eastAsia="宋体" w:cs="宋体"/>
        </w:rPr>
      </w:pPr>
      <w:r>
        <w:rPr>
          <w:rFonts w:hint="eastAsia" w:ascii="宋体" w:hAnsi="宋体" w:eastAsia="宋体" w:cs="宋体"/>
        </w:rPr>
        <w:t>无二次污染：老化的微藻可定期回收，经处理后作为有机肥料、生物燃料原料，实现全生命周期的资源闭环。</w:t>
      </w:r>
    </w:p>
    <w:p w14:paraId="5DCE134C">
      <w:pPr>
        <w:rPr>
          <w:rFonts w:hint="eastAsia" w:ascii="宋体" w:hAnsi="宋体" w:eastAsia="宋体" w:cs="宋体"/>
          <w:b/>
          <w:bCs/>
        </w:rPr>
      </w:pPr>
      <w:r>
        <w:rPr>
          <w:rFonts w:hint="eastAsia" w:ascii="宋体" w:hAnsi="宋体" w:eastAsia="宋体" w:cs="宋体"/>
          <w:b/>
          <w:bCs/>
        </w:rPr>
        <w:t>2.提升建筑节能效率</w:t>
      </w:r>
    </w:p>
    <w:p w14:paraId="6BAD364D">
      <w:pPr>
        <w:ind w:firstLine="420" w:firstLineChars="200"/>
        <w:rPr>
          <w:rFonts w:hint="eastAsia" w:ascii="宋体" w:hAnsi="宋体" w:eastAsia="宋体" w:cs="宋体"/>
        </w:rPr>
      </w:pPr>
      <w:r>
        <w:rPr>
          <w:rFonts w:hint="eastAsia" w:ascii="宋体" w:hAnsi="宋体" w:eastAsia="宋体" w:cs="宋体"/>
        </w:rPr>
        <w:t>天然遮阳隔热：生长状态良好的微藻会形成浓密的“生物遮阳层”，可阻挡60%~80%的太阳直射光，降低建筑夏季制冷能耗约20%~30%；冬季通过调整光照，让微藻密度降低，又能保证适量阳光进入室内，减少采暖能耗。</w:t>
      </w:r>
    </w:p>
    <w:p w14:paraId="190D57C5">
      <w:pPr>
        <w:ind w:firstLine="420" w:firstLineChars="200"/>
        <w:rPr>
          <w:rFonts w:hint="eastAsia" w:ascii="宋体" w:hAnsi="宋体" w:eastAsia="宋体" w:cs="宋体"/>
        </w:rPr>
      </w:pPr>
      <w:r>
        <w:rPr>
          <w:rFonts w:hint="eastAsia" w:ascii="宋体" w:hAnsi="宋体" w:eastAsia="宋体" w:cs="宋体"/>
        </w:rPr>
        <w:t>余热回收利用：微藻生长过程中会释放低品位热能，通过腔体内的热交换装置，可将这部分热量回收用于建筑生活热水供应，进一步降低能源消耗。</w:t>
      </w:r>
    </w:p>
    <w:p w14:paraId="37D9B2DA">
      <w:pPr>
        <w:rPr>
          <w:rFonts w:hint="eastAsia" w:ascii="宋体" w:hAnsi="宋体" w:eastAsia="宋体" w:cs="宋体"/>
          <w:b/>
          <w:bCs/>
          <w:sz w:val="28"/>
          <w:szCs w:val="36"/>
        </w:rPr>
      </w:pPr>
      <w:r>
        <w:rPr>
          <w:rFonts w:hint="eastAsia" w:ascii="宋体" w:hAnsi="宋体" w:eastAsia="宋体" w:cs="宋体"/>
          <w:b/>
          <w:bCs/>
          <w:sz w:val="28"/>
          <w:szCs w:val="36"/>
          <w:lang w:val="en-US" w:eastAsia="zh-CN"/>
        </w:rPr>
        <w:t>二、</w:t>
      </w:r>
      <w:r>
        <w:rPr>
          <w:rFonts w:hint="eastAsia" w:ascii="宋体" w:hAnsi="宋体" w:eastAsia="宋体" w:cs="宋体"/>
          <w:b/>
          <w:bCs/>
          <w:sz w:val="28"/>
          <w:szCs w:val="36"/>
        </w:rPr>
        <w:t>技术可行性：从藻种到建筑系统的全链路落地</w:t>
      </w:r>
    </w:p>
    <w:p w14:paraId="2D813EFA">
      <w:pPr>
        <w:rPr>
          <w:rFonts w:hint="eastAsia" w:ascii="宋体" w:hAnsi="宋体" w:eastAsia="宋体" w:cs="宋体"/>
        </w:rPr>
      </w:pPr>
      <w:r>
        <w:rPr>
          <w:rFonts w:hint="eastAsia" w:ascii="宋体" w:hAnsi="宋体" w:eastAsia="宋体" w:cs="宋体"/>
        </w:rPr>
        <w:t>1.微藻核心系统（保证功能稳定）</w:t>
      </w:r>
    </w:p>
    <w:p w14:paraId="2F7674A8">
      <w:pPr>
        <w:ind w:firstLine="420" w:firstLineChars="200"/>
        <w:rPr>
          <w:rFonts w:hint="eastAsia" w:ascii="宋体" w:hAnsi="宋体" w:eastAsia="宋体" w:cs="宋体"/>
        </w:rPr>
      </w:pPr>
      <w:r>
        <w:rPr>
          <w:rFonts w:hint="eastAsia" w:ascii="宋体" w:hAnsi="宋体" w:eastAsia="宋体" w:cs="宋体"/>
        </w:rPr>
        <w:t>藻种选型</w:t>
      </w:r>
    </w:p>
    <w:p w14:paraId="6DAEEB48">
      <w:pPr>
        <w:ind w:firstLine="420" w:firstLineChars="200"/>
        <w:rPr>
          <w:rFonts w:hint="eastAsia" w:ascii="宋体" w:hAnsi="宋体" w:eastAsia="宋体" w:cs="宋体"/>
        </w:rPr>
      </w:pPr>
      <w:r>
        <w:rPr>
          <w:rFonts w:hint="eastAsia" w:ascii="宋体" w:hAnsi="宋体" w:eastAsia="宋体" w:cs="宋体"/>
        </w:rPr>
        <w:t>优先选小球藻+螺旋藻混合藻种（耐温范围5-35℃，适配我国大部分地区；生长速度快，2-3天可完成一次增殖，色彩呈现度高）；</w:t>
      </w:r>
    </w:p>
    <w:p w14:paraId="35536FB8">
      <w:pPr>
        <w:ind w:firstLine="420" w:firstLineChars="200"/>
        <w:rPr>
          <w:rFonts w:hint="eastAsia" w:ascii="宋体" w:hAnsi="宋体" w:eastAsia="宋体" w:cs="宋体"/>
        </w:rPr>
      </w:pPr>
      <w:r>
        <w:rPr>
          <w:rFonts w:hint="eastAsia" w:ascii="宋体" w:hAnsi="宋体" w:eastAsia="宋体" w:cs="宋体"/>
        </w:rPr>
        <w:t>额外添加耐弱光藻种（如衣藻），适配建筑背阴面的幕墙模块。</w:t>
      </w:r>
    </w:p>
    <w:p w14:paraId="38B6A137">
      <w:pPr>
        <w:rPr>
          <w:rFonts w:hint="eastAsia" w:ascii="宋体" w:hAnsi="宋体" w:eastAsia="宋体" w:cs="宋体"/>
        </w:rPr>
      </w:pPr>
      <w:r>
        <w:rPr>
          <w:rFonts w:hint="eastAsia" w:ascii="宋体" w:hAnsi="宋体" w:eastAsia="宋体" w:cs="宋体"/>
        </w:rPr>
        <w:t>培养系统设计：</w:t>
      </w:r>
    </w:p>
    <w:p w14:paraId="17166F9D">
      <w:pPr>
        <w:rPr>
          <w:rFonts w:hint="eastAsia" w:ascii="宋体" w:hAnsi="宋体" w:eastAsia="宋体" w:cs="宋体"/>
        </w:rPr>
      </w:pPr>
      <w:r>
        <w:rPr>
          <w:rFonts w:hint="eastAsia" w:ascii="宋体" w:hAnsi="宋体" w:eastAsia="宋体" w:cs="宋体"/>
        </w:rPr>
        <w:t>模块化腔体：采用双层夹胶玻璃+亚克力密封腔体（厚度12cm，内层做防藻附着涂层，外层满足建筑幕墙的抗风压/隔音要求），单模块尺寸1.2m×2.4m（适配建筑标准构件）；</w:t>
      </w:r>
    </w:p>
    <w:p w14:paraId="09971DFA">
      <w:pPr>
        <w:rPr>
          <w:rFonts w:hint="eastAsia" w:ascii="宋体" w:hAnsi="宋体" w:eastAsia="宋体" w:cs="宋体"/>
        </w:rPr>
      </w:pPr>
      <w:r>
        <w:rPr>
          <w:rFonts w:hint="eastAsia" w:ascii="宋体" w:hAnsi="宋体" w:eastAsia="宋体" w:cs="宋体"/>
        </w:rPr>
        <w:t>循环系统：每个模块接入独立微型循环泵（功率5W，低能耗），串联建筑顶层的集中营养液储罐（自动监测氮/磷浓度，缺液时自动补充）；</w:t>
      </w:r>
    </w:p>
    <w:p w14:paraId="522EB010">
      <w:pPr>
        <w:rPr>
          <w:rFonts w:hint="eastAsia" w:ascii="宋体" w:hAnsi="宋体" w:eastAsia="宋体" w:cs="宋体"/>
        </w:rPr>
      </w:pPr>
      <w:r>
        <w:rPr>
          <w:rFonts w:hint="eastAsia" w:ascii="宋体" w:hAnsi="宋体" w:eastAsia="宋体" w:cs="宋体"/>
        </w:rPr>
        <w:t>环境调控：腔体内嵌入微型LED补光灯+CO₂传感器，当光照强度＜2000lux时自动补光，CO₂浓度＞1000ppm时联动建筑新风系统补充CO₂（同时利用建筑室内的CO₂为微藻供能）。</w:t>
      </w:r>
    </w:p>
    <w:p w14:paraId="0B195EEC">
      <w:pPr>
        <w:rPr>
          <w:rFonts w:hint="eastAsia" w:ascii="宋体" w:hAnsi="宋体" w:eastAsia="宋体" w:cs="宋体"/>
        </w:rPr>
      </w:pPr>
      <w:r>
        <w:rPr>
          <w:rFonts w:hint="eastAsia" w:ascii="宋体" w:hAnsi="宋体" w:eastAsia="宋体" w:cs="宋体"/>
        </w:rPr>
        <w:t>2.建筑结构与机电适配</w:t>
      </w:r>
    </w:p>
    <w:p w14:paraId="1A96E0E2">
      <w:pPr>
        <w:rPr>
          <w:rFonts w:hint="eastAsia" w:ascii="宋体" w:hAnsi="宋体" w:eastAsia="宋体" w:cs="宋体"/>
        </w:rPr>
      </w:pPr>
      <w:r>
        <w:rPr>
          <w:rFonts w:hint="eastAsia" w:ascii="宋体" w:hAnsi="宋体" w:eastAsia="宋体" w:cs="宋体"/>
        </w:rPr>
        <w:t>结构承载：</w:t>
      </w:r>
    </w:p>
    <w:p w14:paraId="1D6623BC">
      <w:pPr>
        <w:rPr>
          <w:rFonts w:hint="eastAsia" w:ascii="宋体" w:hAnsi="宋体" w:eastAsia="宋体" w:cs="宋体"/>
        </w:rPr>
      </w:pPr>
      <w:r>
        <w:rPr>
          <w:rFonts w:hint="eastAsia" w:ascii="宋体" w:hAnsi="宋体" w:eastAsia="宋体" w:cs="宋体"/>
        </w:rPr>
        <w:t>微藻模块（含藻液）单平米重量约80kg，需在建筑主体结构预留悬挑式幕墙龙骨（采用铝合金型材，强度满足GB 50009建筑结构荷载规范）；</w:t>
      </w:r>
    </w:p>
    <w:p w14:paraId="0BCB6680">
      <w:pPr>
        <w:rPr>
          <w:rFonts w:hint="eastAsia" w:ascii="宋体" w:hAnsi="宋体" w:eastAsia="宋体" w:cs="宋体"/>
        </w:rPr>
      </w:pPr>
      <w:r>
        <w:rPr>
          <w:rFonts w:hint="eastAsia" w:ascii="宋体" w:hAnsi="宋体" w:eastAsia="宋体" w:cs="宋体"/>
        </w:rPr>
        <w:t>腔体接缝处用耐候性硅酮密封胶（防水等级IP67，适配建筑防水要求）。</w:t>
      </w:r>
    </w:p>
    <w:p w14:paraId="549F406C">
      <w:pPr>
        <w:rPr>
          <w:rFonts w:hint="eastAsia" w:ascii="宋体" w:hAnsi="宋体" w:eastAsia="宋体" w:cs="宋体"/>
        </w:rPr>
      </w:pPr>
      <w:r>
        <w:rPr>
          <w:rFonts w:hint="eastAsia" w:ascii="宋体" w:hAnsi="宋体" w:eastAsia="宋体" w:cs="宋体"/>
        </w:rPr>
        <w:t>机电衔接：</w:t>
      </w:r>
    </w:p>
    <w:p w14:paraId="0AB1E4EE">
      <w:pPr>
        <w:rPr>
          <w:rFonts w:hint="eastAsia" w:ascii="宋体" w:hAnsi="宋体" w:eastAsia="宋体" w:cs="宋体"/>
        </w:rPr>
      </w:pPr>
      <w:r>
        <w:rPr>
          <w:rFonts w:hint="eastAsia" w:ascii="宋体" w:hAnsi="宋体" w:eastAsia="宋体" w:cs="宋体"/>
        </w:rPr>
        <w:t>循环管线：采用食品级PVC管（直径25mm），沿建筑幕墙龙骨暗敷，和建筑给排水系统做隔断（避免藻液污染生活用水）；</w:t>
      </w:r>
    </w:p>
    <w:p w14:paraId="2D60C184">
      <w:pPr>
        <w:rPr>
          <w:rFonts w:hint="eastAsia" w:ascii="宋体" w:hAnsi="宋体" w:eastAsia="宋体" w:cs="宋体"/>
        </w:rPr>
      </w:pPr>
      <w:r>
        <w:rPr>
          <w:rFonts w:hint="eastAsia" w:ascii="宋体" w:hAnsi="宋体" w:eastAsia="宋体" w:cs="宋体"/>
        </w:rPr>
        <w:t>检修系统：每10个模块设置1个检修口（尺寸0.6m×0.6m），同步接入建筑弱电系统（实时监测每个模块的藻液浓度、温度，异常时推送预警）。</w:t>
      </w:r>
    </w:p>
    <w:p w14:paraId="77C90B44">
      <w:pPr>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1944370" cy="2293620"/>
            <wp:effectExtent l="0" t="0" r="11430" b="5080"/>
            <wp:docPr id="2" name="图片 2" descr="e214e45a07406dc00d9f4b1d71fe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14e45a07406dc00d9f4b1d71feead0"/>
                    <pic:cNvPicPr>
                      <a:picLocks noChangeAspect="1"/>
                    </pic:cNvPicPr>
                  </pic:nvPicPr>
                  <pic:blipFill>
                    <a:blip r:embed="rId5"/>
                    <a:stretch>
                      <a:fillRect/>
                    </a:stretch>
                  </pic:blipFill>
                  <pic:spPr>
                    <a:xfrm>
                      <a:off x="0" y="0"/>
                      <a:ext cx="1944370" cy="2293620"/>
                    </a:xfrm>
                    <a:prstGeom prst="rect">
                      <a:avLst/>
                    </a:prstGeom>
                  </pic:spPr>
                </pic:pic>
              </a:graphicData>
            </a:graphic>
          </wp:inline>
        </w:drawing>
      </w:r>
    </w:p>
    <w:p w14:paraId="5FCEB628">
      <w:pPr>
        <w:jc w:val="center"/>
        <w:rPr>
          <w:rFonts w:hint="eastAsia" w:ascii="宋体" w:hAnsi="宋体" w:eastAsia="宋体" w:cs="宋体"/>
          <w:lang w:val="en-US" w:eastAsia="zh-CN"/>
        </w:rPr>
      </w:pPr>
      <w:r>
        <w:rPr>
          <w:rFonts w:hint="eastAsia" w:ascii="宋体" w:hAnsi="宋体" w:eastAsia="宋体" w:cs="宋体"/>
          <w:lang w:val="en-US" w:eastAsia="zh-CN"/>
        </w:rPr>
        <w:t>图2 微藻幕墙模型图</w:t>
      </w:r>
    </w:p>
    <w:p w14:paraId="3668CC5C">
      <w:pPr>
        <w:jc w:val="center"/>
        <w:rPr>
          <w:rFonts w:hint="eastAsia" w:ascii="宋体" w:hAnsi="宋体" w:eastAsia="宋体" w:cs="宋体"/>
          <w:lang w:val="en-US" w:eastAsia="zh-CN"/>
        </w:rPr>
      </w:pPr>
    </w:p>
    <w:p w14:paraId="31F3B1FC">
      <w:pPr>
        <w:jc w:val="center"/>
        <w:rPr>
          <w:rFonts w:hint="eastAsia" w:ascii="宋体" w:hAnsi="宋体" w:eastAsia="宋体" w:cs="宋体"/>
          <w:lang w:val="en-US" w:eastAsia="zh-CN"/>
        </w:rPr>
      </w:pPr>
    </w:p>
    <w:p w14:paraId="437B3D82">
      <w:pPr>
        <w:jc w:val="left"/>
        <w:rPr>
          <w:rFonts w:hint="default" w:ascii="宋体" w:hAnsi="宋体" w:eastAsia="宋体" w:cs="宋体"/>
          <w:lang w:val="en-US" w:eastAsia="zh-CN"/>
        </w:rPr>
      </w:pPr>
      <w:r>
        <w:rPr>
          <w:rFonts w:hint="default" w:ascii="宋体" w:hAnsi="宋体" w:eastAsia="宋体" w:cs="宋体"/>
          <w:lang w:val="en-US" w:eastAsia="zh-CN"/>
        </w:rPr>
        <w:t>一、热工性能数值模拟</w:t>
      </w:r>
    </w:p>
    <w:p w14:paraId="62EF79EB">
      <w:pPr>
        <w:jc w:val="left"/>
        <w:rPr>
          <w:rFonts w:hint="default" w:ascii="宋体" w:hAnsi="宋体" w:eastAsia="宋体" w:cs="宋体"/>
          <w:lang w:val="en-US" w:eastAsia="zh-CN"/>
        </w:rPr>
      </w:pPr>
      <w:r>
        <w:rPr>
          <w:rFonts w:hint="default" w:ascii="宋体" w:hAnsi="宋体" w:eastAsia="宋体" w:cs="宋体"/>
          <w:lang w:val="en-US" w:eastAsia="zh-CN"/>
        </w:rPr>
        <w:t>模拟条件：夏季室外温度 35℃/ 冬季 10℃，微藻密度控制在 0.8g/L（生长稳定期），对比传统 Low-E 玻璃幕墙</w:t>
      </w:r>
    </w:p>
    <w:p w14:paraId="63584B4A">
      <w:pPr>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778760" cy="3260090"/>
            <wp:effectExtent l="0" t="0" r="2540" b="3810"/>
            <wp:docPr id="3" name="图片 3" descr="3f275907465de0d4ad2d849710f8c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f275907465de0d4ad2d849710f8cfcb"/>
                    <pic:cNvPicPr>
                      <a:picLocks noChangeAspect="1"/>
                    </pic:cNvPicPr>
                  </pic:nvPicPr>
                  <pic:blipFill>
                    <a:blip r:embed="rId6"/>
                    <a:stretch>
                      <a:fillRect/>
                    </a:stretch>
                  </pic:blipFill>
                  <pic:spPr>
                    <a:xfrm>
                      <a:off x="0" y="0"/>
                      <a:ext cx="2778760" cy="3260090"/>
                    </a:xfrm>
                    <a:prstGeom prst="rect">
                      <a:avLst/>
                    </a:prstGeom>
                  </pic:spPr>
                </pic:pic>
              </a:graphicData>
            </a:graphic>
          </wp:inline>
        </w:drawing>
      </w:r>
    </w:p>
    <w:p w14:paraId="3A262BA7">
      <w:pPr>
        <w:jc w:val="center"/>
        <w:rPr>
          <w:rFonts w:hint="default" w:ascii="宋体" w:hAnsi="宋体" w:eastAsia="宋体" w:cs="宋体"/>
          <w:lang w:val="en-US" w:eastAsia="zh-CN"/>
        </w:rPr>
      </w:pPr>
      <w:r>
        <w:rPr>
          <w:rFonts w:hint="eastAsia" w:ascii="宋体" w:hAnsi="宋体" w:eastAsia="宋体" w:cs="宋体"/>
          <w:lang w:val="en-US" w:eastAsia="zh-CN"/>
        </w:rPr>
        <w:t xml:space="preserve">图3 </w:t>
      </w:r>
    </w:p>
    <w:p w14:paraId="05782189">
      <w:pPr>
        <w:jc w:val="both"/>
        <w:rPr>
          <w:rFonts w:hint="default" w:ascii="宋体" w:hAnsi="宋体" w:eastAsia="宋体" w:cs="宋体"/>
          <w:lang w:val="en-US" w:eastAsia="zh-CN"/>
        </w:rPr>
      </w:pPr>
      <w:r>
        <w:rPr>
          <w:rFonts w:hint="default" w:ascii="宋体" w:hAnsi="宋体" w:eastAsia="宋体" w:cs="宋体"/>
          <w:lang w:val="en-US" w:eastAsia="zh-CN"/>
        </w:rPr>
        <w:t>二、光环境数值模拟</w:t>
      </w:r>
    </w:p>
    <w:p w14:paraId="7075528A">
      <w:pPr>
        <w:jc w:val="both"/>
        <w:rPr>
          <w:rFonts w:hint="default" w:ascii="宋体" w:hAnsi="宋体" w:eastAsia="宋体" w:cs="宋体"/>
          <w:lang w:val="en-US" w:eastAsia="zh-CN"/>
        </w:rPr>
      </w:pPr>
      <w:r>
        <w:rPr>
          <w:rFonts w:hint="default" w:ascii="宋体" w:hAnsi="宋体" w:eastAsia="宋体" w:cs="宋体"/>
          <w:lang w:val="en-US" w:eastAsia="zh-CN"/>
        </w:rPr>
        <w:t>模拟条件：室内办公区距幕墙 3m，微藻密度 0.8g/L（典型工作时段），对比传统玻璃幕墙。</w:t>
      </w:r>
    </w:p>
    <w:p w14:paraId="721FFF0B">
      <w:pPr>
        <w:jc w:val="center"/>
      </w:pPr>
      <w:r>
        <w:drawing>
          <wp:inline distT="0" distB="0" distL="114300" distR="114300">
            <wp:extent cx="3747135" cy="1572260"/>
            <wp:effectExtent l="0" t="0" r="1206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3747135" cy="1572260"/>
                    </a:xfrm>
                    <a:prstGeom prst="rect">
                      <a:avLst/>
                    </a:prstGeom>
                    <a:noFill/>
                    <a:ln>
                      <a:noFill/>
                    </a:ln>
                  </pic:spPr>
                </pic:pic>
              </a:graphicData>
            </a:graphic>
          </wp:inline>
        </w:drawing>
      </w:r>
    </w:p>
    <w:p w14:paraId="08799FEF">
      <w:pPr>
        <w:jc w:val="center"/>
        <w:rPr>
          <w:rFonts w:hint="eastAsia"/>
          <w:lang w:val="en-US" w:eastAsia="zh-CN"/>
        </w:rPr>
      </w:pPr>
      <w:r>
        <w:rPr>
          <w:rFonts w:hint="eastAsia"/>
          <w:lang w:val="en-US" w:eastAsia="zh-CN"/>
        </w:rPr>
        <w:t>图4</w:t>
      </w:r>
    </w:p>
    <w:p w14:paraId="7031BC83">
      <w:pPr>
        <w:jc w:val="both"/>
        <w:rPr>
          <w:rFonts w:hint="default"/>
          <w:lang w:val="en-US" w:eastAsia="zh-CN"/>
        </w:rPr>
      </w:pPr>
      <w:r>
        <w:rPr>
          <w:rFonts w:hint="default"/>
          <w:lang w:val="en-US" w:eastAsia="zh-CN"/>
        </w:rPr>
        <w:t>三、结构响应数值模拟</w:t>
      </w:r>
    </w:p>
    <w:p w14:paraId="604BDB73">
      <w:pPr>
        <w:jc w:val="both"/>
        <w:rPr>
          <w:rFonts w:hint="default"/>
          <w:lang w:val="en-US" w:eastAsia="zh-CN"/>
        </w:rPr>
      </w:pPr>
      <w:r>
        <w:rPr>
          <w:rFonts w:hint="default"/>
          <w:lang w:val="en-US" w:eastAsia="zh-CN"/>
        </w:rPr>
        <w:t>模拟条件：建筑高度 80m（高层），基本风压 0.6kN/㎡，微藻模块单平米重量 80kg（含藻液）。</w:t>
      </w:r>
    </w:p>
    <w:p w14:paraId="4FD3BD48">
      <w:pPr>
        <w:jc w:val="center"/>
      </w:pPr>
      <w:r>
        <w:drawing>
          <wp:inline distT="0" distB="0" distL="114300" distR="114300">
            <wp:extent cx="3263265" cy="1232535"/>
            <wp:effectExtent l="0" t="0" r="63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263265" cy="1232535"/>
                    </a:xfrm>
                    <a:prstGeom prst="rect">
                      <a:avLst/>
                    </a:prstGeom>
                    <a:noFill/>
                    <a:ln>
                      <a:noFill/>
                    </a:ln>
                  </pic:spPr>
                </pic:pic>
              </a:graphicData>
            </a:graphic>
          </wp:inline>
        </w:drawing>
      </w:r>
    </w:p>
    <w:p w14:paraId="4E437642">
      <w:pPr>
        <w:jc w:val="center"/>
        <w:rPr>
          <w:rFonts w:hint="eastAsia"/>
          <w:lang w:val="en-US" w:eastAsia="zh-CN"/>
        </w:rPr>
      </w:pPr>
      <w:r>
        <w:rPr>
          <w:rFonts w:hint="eastAsia"/>
          <w:lang w:val="en-US" w:eastAsia="zh-CN"/>
        </w:rPr>
        <w:t>图5</w:t>
      </w:r>
    </w:p>
    <w:p w14:paraId="67060EB6">
      <w:pPr>
        <w:jc w:val="left"/>
        <w:rPr>
          <w:rFonts w:hint="default"/>
          <w:lang w:val="en-US" w:eastAsia="zh-CN"/>
        </w:rPr>
      </w:pPr>
      <w:r>
        <w:rPr>
          <w:rFonts w:hint="default"/>
          <w:lang w:val="en-US" w:eastAsia="zh-CN"/>
        </w:rPr>
        <w:t>四、模拟结论：</w:t>
      </w:r>
    </w:p>
    <w:p w14:paraId="1373F96E">
      <w:pPr>
        <w:ind w:firstLine="420" w:firstLineChars="200"/>
        <w:jc w:val="left"/>
        <w:rPr>
          <w:rFonts w:hint="default"/>
          <w:lang w:val="en-US" w:eastAsia="zh-CN"/>
        </w:rPr>
      </w:pPr>
      <w:r>
        <w:rPr>
          <w:rFonts w:hint="default"/>
          <w:lang w:val="en-US" w:eastAsia="zh-CN"/>
        </w:rPr>
        <w:t>热工逻辑成立：微藻幕墙通过 “生物遮阳+腔体热阻”</w:t>
      </w:r>
      <w:bookmarkStart w:id="0" w:name="_GoBack"/>
      <w:bookmarkEnd w:id="0"/>
      <w:r>
        <w:rPr>
          <w:rFonts w:hint="default"/>
          <w:lang w:val="en-US" w:eastAsia="zh-CN"/>
        </w:rPr>
        <w:t>实现了夏隔热、冬调透的效果，能耗降低幅度符合绿色建筑要求，技术可落地；</w:t>
      </w:r>
    </w:p>
    <w:p w14:paraId="0C07B2D7">
      <w:pPr>
        <w:ind w:firstLine="420" w:firstLineChars="200"/>
        <w:jc w:val="left"/>
        <w:rPr>
          <w:rFonts w:hint="default"/>
          <w:lang w:val="en-US" w:eastAsia="zh-CN"/>
        </w:rPr>
      </w:pPr>
      <w:r>
        <w:rPr>
          <w:rFonts w:hint="default"/>
          <w:lang w:val="en-US" w:eastAsia="zh-CN"/>
        </w:rPr>
        <w:t>光环境逻辑成立：既保证了办公区的天然采光需求，又避免了传统玻璃幕墙的眩光问题，光舒适度满足实际使用场景；</w:t>
      </w:r>
    </w:p>
    <w:p w14:paraId="5632FE01">
      <w:pPr>
        <w:ind w:firstLine="420" w:firstLineChars="200"/>
        <w:jc w:val="left"/>
        <w:rPr>
          <w:rFonts w:hint="default"/>
          <w:lang w:val="en-US" w:eastAsia="zh-CN"/>
        </w:rPr>
      </w:pPr>
      <w:r>
        <w:rPr>
          <w:rFonts w:hint="default"/>
          <w:lang w:val="en-US" w:eastAsia="zh-CN"/>
        </w:rPr>
        <w:t>结构安全落地：模块重量、龙骨应力、接缝位移等指标均符合建筑结构规范，在高层办公建筑中具备实际施工条件。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BE4532"/>
    <w:rsid w:val="47BE4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2026-01-03T17:15:00Z</dcterms:created>
  <dc:creator>何以笙箫默.</dc:creator>
  <cp:lastModifiedBy>何以笙箫默.</cp:lastModifiedBy>
  <dcterms:modified xsi:type="dcterms:W3CDTF">2026-01-03T17:43:27Z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ECCDACD1E2D247A3A57825ABA3A97B01_11</vt:lpwstr>
  </property>
  <property fmtid="{D5CDD505-2E9C-101B-9397-08002B2CF9AE}" pid="4" name="KSOTemplateDocerSaveRecord">
    <vt:lpwstr>eyJoZGlkIjoiNzE1ODgyZDJjZDlkZTI2MjY3NDY1MjE0N2EzMWM0MmEiLCJ1c2VySWQiOiI5NTc0MTc5NTcifQ==</vt:lpwstr>
  </property>
</Properties>
</file>