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8D0AC">
      <w:pPr>
        <w:spacing w:before="480" w:after="480" w:line="288" w:lineRule="auto"/>
        <w:ind w:left="0"/>
      </w:pPr>
      <w:bookmarkStart w:id="16" w:name="_GoBack"/>
      <w:bookmarkEnd w:id="16"/>
      <w:r>
        <w:rPr>
          <w:rFonts w:ascii="Arial" w:hAnsi="Arial" w:eastAsia="等线" w:cs="Arial"/>
          <w:b/>
          <w:sz w:val="52"/>
        </w:rPr>
        <w:t>工业化内装利废建材废弃物掺量说明及证明材料文件</w:t>
      </w:r>
    </w:p>
    <w:p w14:paraId="5C8D827B">
      <w:pPr>
        <w:spacing w:before="380" w:after="140" w:line="288" w:lineRule="auto"/>
        <w:ind w:left="0"/>
        <w:jc w:val="left"/>
        <w:outlineLvl w:val="0"/>
      </w:pPr>
      <w:bookmarkStart w:id="0" w:name="heading_0"/>
      <w:r>
        <w:rPr>
          <w:rFonts w:ascii="Arial" w:hAnsi="Arial" w:eastAsia="等线" w:cs="Arial"/>
          <w:b/>
          <w:sz w:val="36"/>
        </w:rPr>
        <w:t>一、文件说明</w:t>
      </w:r>
      <w:bookmarkEnd w:id="0"/>
    </w:p>
    <w:p w14:paraId="47F2F4A8">
      <w:pPr>
        <w:spacing w:before="120" w:after="120" w:line="288" w:lineRule="auto"/>
        <w:ind w:left="0"/>
        <w:jc w:val="left"/>
      </w:pPr>
      <w:r>
        <w:rPr>
          <w:rFonts w:ascii="Arial" w:hAnsi="Arial" w:eastAsia="等线" w:cs="Arial"/>
          <w:sz w:val="22"/>
        </w:rPr>
        <w:t>本文件针对本项目工业化内装所用利废建材，详细说明各类利废材料中废弃物掺量标准、核算方法、依据及相关证明材料要求，旨在规范利废建材废弃物掺量管理，确保材料符合绿色建筑相关标准及项目设计要求，为工程环保验收、绿色建筑评价提供核心依据，同时与本项目利废材料产品检测报告、可再循环材料和可再利用材料用量计算书数据保持一致、逻辑连贯。</w:t>
      </w:r>
    </w:p>
    <w:p w14:paraId="0ACF9C96">
      <w:pPr>
        <w:spacing w:before="120" w:after="120" w:line="288" w:lineRule="auto"/>
        <w:ind w:left="0"/>
        <w:jc w:val="left"/>
      </w:pPr>
      <w:r>
        <w:rPr>
          <w:rFonts w:ascii="Arial" w:hAnsi="Arial" w:eastAsia="等线" w:cs="Arial"/>
          <w:sz w:val="22"/>
        </w:rPr>
        <w:t>本文件所指利废建材，对应项目利废材料检测报告中送检的6类核心材料，包括再生骨料预制水磨石地砖、再生塑料SPC锁扣地板、再生金属轻钢龙骨、再生铝合金吊顶模块、再生木质复合墙板、再生塑料密封胶（耐候型），废弃物掺量核算严格遵循国家相关标准及行业规范，确保数据真实、准确、可追溯。</w:t>
      </w:r>
    </w:p>
    <w:p w14:paraId="3E380DEF">
      <w:pPr>
        <w:spacing w:before="380" w:after="140" w:line="288" w:lineRule="auto"/>
        <w:ind w:left="0"/>
        <w:jc w:val="left"/>
        <w:outlineLvl w:val="0"/>
      </w:pPr>
      <w:bookmarkStart w:id="1" w:name="heading_1"/>
      <w:r>
        <w:rPr>
          <w:rFonts w:ascii="Arial" w:hAnsi="Arial" w:eastAsia="等线" w:cs="Arial"/>
          <w:b/>
          <w:sz w:val="36"/>
        </w:rPr>
        <w:t>二、废弃物掺量核心说明</w:t>
      </w:r>
      <w:bookmarkEnd w:id="1"/>
    </w:p>
    <w:p w14:paraId="134F67E8">
      <w:pPr>
        <w:spacing w:before="120" w:after="120" w:line="288" w:lineRule="auto"/>
        <w:ind w:left="0"/>
        <w:jc w:val="left"/>
      </w:pPr>
      <w:r>
        <w:rPr>
          <w:rFonts w:ascii="Arial" w:hAnsi="Arial" w:eastAsia="等线" w:cs="Arial"/>
          <w:sz w:val="22"/>
        </w:rPr>
        <w:t>本项目利废建材选用遵循“资源化利用、绿色环保”原则，各类利废材料中废弃物掺量均符合《绿色建筑评价标准》GB/T50378-2019(2024年版)、《装配式内装修技术标准》GB/T 51349-2019及相关行业规范要求，同时匹配项目可再循环材料用量计算书中的再生成分核算比例，具体掺量说明如下：</w:t>
      </w:r>
    </w:p>
    <w:p w14:paraId="1E2A33A9">
      <w:pPr>
        <w:spacing w:before="320" w:after="120" w:line="288" w:lineRule="auto"/>
        <w:ind w:left="0"/>
        <w:jc w:val="left"/>
        <w:outlineLvl w:val="1"/>
      </w:pPr>
      <w:bookmarkStart w:id="2" w:name="heading_2"/>
      <w:r>
        <w:rPr>
          <w:rFonts w:ascii="Arial" w:hAnsi="Arial" w:eastAsia="等线" w:cs="Arial"/>
          <w:b/>
          <w:sz w:val="32"/>
        </w:rPr>
        <w:t>2.1 再生骨料预制水磨石地砖</w:t>
      </w:r>
      <w:bookmarkEnd w:id="2"/>
    </w:p>
    <w:p w14:paraId="497AB8A3">
      <w:pPr>
        <w:numPr>
          <w:ilvl w:val="0"/>
          <w:numId w:val="1"/>
        </w:numPr>
        <w:spacing w:before="120" w:after="120" w:line="288" w:lineRule="auto"/>
        <w:ind w:left="0"/>
        <w:jc w:val="left"/>
      </w:pPr>
      <w:r>
        <w:rPr>
          <w:rFonts w:ascii="Arial" w:hAnsi="Arial" w:eastAsia="等线" w:cs="Arial"/>
          <w:sz w:val="22"/>
        </w:rPr>
        <w:t>废弃物类型：建筑废弃物再生骨料（主要为废弃混凝土、砖石等经破碎、筛分、加工后的再生颗粒）。</w:t>
      </w:r>
    </w:p>
    <w:p w14:paraId="54EFD32B">
      <w:pPr>
        <w:numPr>
          <w:ilvl w:val="0"/>
          <w:numId w:val="2"/>
        </w:numPr>
        <w:spacing w:before="120" w:after="120" w:line="288" w:lineRule="auto"/>
        <w:ind w:left="0"/>
        <w:jc w:val="left"/>
      </w:pPr>
      <w:r>
        <w:rPr>
          <w:rFonts w:ascii="Arial" w:hAnsi="Arial" w:eastAsia="等线" w:cs="Arial"/>
          <w:sz w:val="22"/>
        </w:rPr>
        <w:t>废弃物掺量标准：≥30%（按材料总质量占比核算），与利废材料检测报告中规格型号要求一致。</w:t>
      </w:r>
    </w:p>
    <w:p w14:paraId="6F9B3CF5">
      <w:pPr>
        <w:numPr>
          <w:ilvl w:val="0"/>
          <w:numId w:val="3"/>
        </w:numPr>
        <w:spacing w:before="120" w:after="120" w:line="288" w:lineRule="auto"/>
        <w:ind w:left="0"/>
        <w:jc w:val="left"/>
      </w:pPr>
      <w:r>
        <w:rPr>
          <w:rFonts w:ascii="Arial" w:hAnsi="Arial" w:eastAsia="等线" w:cs="Arial"/>
          <w:sz w:val="22"/>
        </w:rPr>
        <w:t>掺量核算方法：以单块水磨石地砖总质量为基数，采用烘干法测定再生骨料质量，计算再生骨料占比，核算过程同步留存记录，确保与可再循环材料中水磨石品类的再生成分核算逻辑统一。</w:t>
      </w:r>
    </w:p>
    <w:p w14:paraId="24897699">
      <w:pPr>
        <w:numPr>
          <w:ilvl w:val="0"/>
          <w:numId w:val="4"/>
        </w:numPr>
        <w:spacing w:before="120" w:after="120" w:line="288" w:lineRule="auto"/>
        <w:ind w:left="0"/>
        <w:jc w:val="left"/>
      </w:pPr>
      <w:r>
        <w:rPr>
          <w:rFonts w:ascii="Arial" w:hAnsi="Arial" w:eastAsia="等线" w:cs="Arial"/>
          <w:sz w:val="22"/>
        </w:rPr>
        <w:t>说明：再生骨料掺量控制在30%-35%之间，既保证材料抗压强度、防滑性等核心性能达标（符合检测报告中标准要求），又实现建筑废弃物资源化利用，减少原生骨料使用，降低环境影响。</w:t>
      </w:r>
    </w:p>
    <w:p w14:paraId="0CCC83B7">
      <w:pPr>
        <w:spacing w:before="320" w:after="120" w:line="288" w:lineRule="auto"/>
        <w:ind w:left="0"/>
        <w:jc w:val="left"/>
        <w:outlineLvl w:val="1"/>
      </w:pPr>
      <w:bookmarkStart w:id="3" w:name="heading_3"/>
      <w:r>
        <w:rPr>
          <w:rFonts w:ascii="Arial" w:hAnsi="Arial" w:eastAsia="等线" w:cs="Arial"/>
          <w:b/>
          <w:sz w:val="32"/>
        </w:rPr>
        <w:t>2.2 再生塑料SPC锁扣地板</w:t>
      </w:r>
      <w:bookmarkEnd w:id="3"/>
    </w:p>
    <w:p w14:paraId="4745F64D">
      <w:pPr>
        <w:numPr>
          <w:ilvl w:val="0"/>
          <w:numId w:val="5"/>
        </w:numPr>
        <w:spacing w:before="120" w:after="120" w:line="288" w:lineRule="auto"/>
        <w:ind w:left="0"/>
        <w:jc w:val="left"/>
      </w:pPr>
      <w:r>
        <w:rPr>
          <w:rFonts w:ascii="Arial" w:hAnsi="Arial" w:eastAsia="等线" w:cs="Arial"/>
          <w:sz w:val="22"/>
        </w:rPr>
        <w:t>废弃物类型：废弃塑料（主要为废弃PVC、PE等塑料制品经回收、破碎、熔融加工后的再生塑料颗粒）。</w:t>
      </w:r>
    </w:p>
    <w:p w14:paraId="534D039B">
      <w:pPr>
        <w:numPr>
          <w:ilvl w:val="0"/>
          <w:numId w:val="6"/>
        </w:numPr>
        <w:spacing w:before="120" w:after="120" w:line="288" w:lineRule="auto"/>
        <w:ind w:left="0"/>
        <w:jc w:val="left"/>
      </w:pPr>
      <w:r>
        <w:rPr>
          <w:rFonts w:ascii="Arial" w:hAnsi="Arial" w:eastAsia="等线" w:cs="Arial"/>
          <w:sz w:val="22"/>
        </w:rPr>
        <w:t>废弃物掺量标准：≥50%（按材料总质量占比核算），与利废材料检测报告中规格型号要求、可再循环材料中SPC地板的再生塑料占比核算一致。</w:t>
      </w:r>
    </w:p>
    <w:p w14:paraId="1BC1218A">
      <w:pPr>
        <w:numPr>
          <w:ilvl w:val="0"/>
          <w:numId w:val="7"/>
        </w:numPr>
        <w:spacing w:before="120" w:after="120" w:line="288" w:lineRule="auto"/>
        <w:ind w:left="0"/>
        <w:jc w:val="left"/>
      </w:pPr>
      <w:r>
        <w:rPr>
          <w:rFonts w:ascii="Arial" w:hAnsi="Arial" w:eastAsia="等线" w:cs="Arial"/>
          <w:sz w:val="22"/>
        </w:rPr>
        <w:t>掺量核算方法：采用红外光谱分析法测定地板中再生塑料含量，结合材料生产配比记录，双重核算再生塑料占比，确保掺量达标，同时匹配可再循环材料中SPC地板70%的回收利用比例要求。</w:t>
      </w:r>
    </w:p>
    <w:p w14:paraId="283A6529">
      <w:pPr>
        <w:numPr>
          <w:ilvl w:val="0"/>
          <w:numId w:val="8"/>
        </w:numPr>
        <w:spacing w:before="120" w:after="120" w:line="288" w:lineRule="auto"/>
        <w:ind w:left="0"/>
        <w:jc w:val="left"/>
      </w:pPr>
      <w:r>
        <w:rPr>
          <w:rFonts w:ascii="Arial" w:hAnsi="Arial" w:eastAsia="等线" w:cs="Arial"/>
          <w:sz w:val="22"/>
        </w:rPr>
        <w:t>说明：再生塑料掺量控制在50%-55%之间，兼顾材料耐磨、防滑、环保性能，符合E0级环保标准，实现废弃塑料资源化回收利用，践行绿色建材应用理念。</w:t>
      </w:r>
    </w:p>
    <w:p w14:paraId="08BF7442">
      <w:pPr>
        <w:spacing w:before="320" w:after="120" w:line="288" w:lineRule="auto"/>
        <w:ind w:left="0"/>
        <w:jc w:val="left"/>
        <w:outlineLvl w:val="1"/>
      </w:pPr>
      <w:bookmarkStart w:id="4" w:name="heading_4"/>
      <w:r>
        <w:rPr>
          <w:rFonts w:ascii="Arial" w:hAnsi="Arial" w:eastAsia="等线" w:cs="Arial"/>
          <w:b/>
          <w:sz w:val="32"/>
        </w:rPr>
        <w:t>2.3 再生金属轻钢龙骨</w:t>
      </w:r>
      <w:bookmarkEnd w:id="4"/>
    </w:p>
    <w:p w14:paraId="1697FADF">
      <w:pPr>
        <w:numPr>
          <w:ilvl w:val="0"/>
          <w:numId w:val="9"/>
        </w:numPr>
        <w:spacing w:before="120" w:after="120" w:line="288" w:lineRule="auto"/>
        <w:ind w:left="0"/>
        <w:jc w:val="left"/>
      </w:pPr>
      <w:r>
        <w:rPr>
          <w:rFonts w:ascii="Arial" w:hAnsi="Arial" w:eastAsia="等线" w:cs="Arial"/>
          <w:sz w:val="22"/>
        </w:rPr>
        <w:t>废弃物类型：废弃钢材（主要为废弃建筑钢材、工业钢材等经回收、熔炼、轧制加工后的再生钢材）。</w:t>
      </w:r>
    </w:p>
    <w:p w14:paraId="0CD502AF">
      <w:pPr>
        <w:numPr>
          <w:ilvl w:val="0"/>
          <w:numId w:val="10"/>
        </w:numPr>
        <w:spacing w:before="120" w:after="120" w:line="288" w:lineRule="auto"/>
        <w:ind w:left="0"/>
        <w:jc w:val="left"/>
      </w:pPr>
      <w:r>
        <w:rPr>
          <w:rFonts w:ascii="Arial" w:hAnsi="Arial" w:eastAsia="等线" w:cs="Arial"/>
          <w:sz w:val="22"/>
        </w:rPr>
        <w:t>废弃物掺量标准：≥60%（按材料总质量占比核算），与利废材料检测报告中规格型号要求一致，匹配可再循环材料中轻钢龙骨（钢材）100%可再循环的特性。</w:t>
      </w:r>
    </w:p>
    <w:p w14:paraId="2F7A84B1">
      <w:pPr>
        <w:numPr>
          <w:ilvl w:val="0"/>
          <w:numId w:val="11"/>
        </w:numPr>
        <w:spacing w:before="120" w:after="120" w:line="288" w:lineRule="auto"/>
        <w:ind w:left="0"/>
        <w:jc w:val="left"/>
      </w:pPr>
      <w:r>
        <w:rPr>
          <w:rFonts w:ascii="Arial" w:hAnsi="Arial" w:eastAsia="等线" w:cs="Arial"/>
          <w:sz w:val="22"/>
        </w:rPr>
        <w:t>掺量核算方法：通过化学分析法测定龙骨中再生钢材成分含量，结合生产厂家提供的再生钢材配比记录，核算再生钢材占比，确保掺量达标，同时衔接可再循环材料用量核算逻辑。</w:t>
      </w:r>
    </w:p>
    <w:p w14:paraId="5AD4FA43">
      <w:pPr>
        <w:numPr>
          <w:ilvl w:val="0"/>
          <w:numId w:val="12"/>
        </w:numPr>
        <w:spacing w:before="120" w:after="120" w:line="288" w:lineRule="auto"/>
        <w:ind w:left="0"/>
        <w:jc w:val="left"/>
      </w:pPr>
      <w:r>
        <w:rPr>
          <w:rFonts w:ascii="Arial" w:hAnsi="Arial" w:eastAsia="等线" w:cs="Arial"/>
          <w:sz w:val="22"/>
        </w:rPr>
        <w:t>说明：再生钢材掺量控制在60%-65%之间，保证龙骨壁厚、抗压强度、镀锌层质量等性能符合标准要求，实现废弃钢材回收再利用，降低钢材生产过程中的能源消耗和环境污染。</w:t>
      </w:r>
    </w:p>
    <w:p w14:paraId="4D4738B1">
      <w:pPr>
        <w:spacing w:before="320" w:after="120" w:line="288" w:lineRule="auto"/>
        <w:ind w:left="0"/>
        <w:jc w:val="left"/>
        <w:outlineLvl w:val="1"/>
      </w:pPr>
      <w:bookmarkStart w:id="5" w:name="heading_5"/>
      <w:r>
        <w:rPr>
          <w:rFonts w:ascii="Arial" w:hAnsi="Arial" w:eastAsia="等线" w:cs="Arial"/>
          <w:b/>
          <w:sz w:val="32"/>
        </w:rPr>
        <w:t>2.4 再生铝合金吊顶模块</w:t>
      </w:r>
      <w:bookmarkEnd w:id="5"/>
    </w:p>
    <w:p w14:paraId="0EEE83B4">
      <w:pPr>
        <w:numPr>
          <w:ilvl w:val="0"/>
          <w:numId w:val="13"/>
        </w:numPr>
        <w:spacing w:before="120" w:after="120" w:line="288" w:lineRule="auto"/>
        <w:ind w:left="0"/>
        <w:jc w:val="left"/>
      </w:pPr>
      <w:r>
        <w:rPr>
          <w:rFonts w:ascii="Arial" w:hAnsi="Arial" w:eastAsia="等线" w:cs="Arial"/>
          <w:sz w:val="22"/>
        </w:rPr>
        <w:t>废弃物类型：废弃铝合金（主要为废弃建筑铝合金型材、工业铝合金制品等经回收、熔炼、加工后的再生铝合金）。</w:t>
      </w:r>
    </w:p>
    <w:p w14:paraId="04077FC8">
      <w:pPr>
        <w:numPr>
          <w:ilvl w:val="0"/>
          <w:numId w:val="14"/>
        </w:numPr>
        <w:spacing w:before="120" w:after="120" w:line="288" w:lineRule="auto"/>
        <w:ind w:left="0"/>
        <w:jc w:val="left"/>
      </w:pPr>
      <w:r>
        <w:rPr>
          <w:rFonts w:ascii="Arial" w:hAnsi="Arial" w:eastAsia="等线" w:cs="Arial"/>
          <w:sz w:val="22"/>
        </w:rPr>
        <w:t>废弃物掺量标准：≥85%（按材料总质量占比核算），与利废材料检测报告中规格型号要求一致，匹配可再循环材料中铝合金100%可再循环的特性。</w:t>
      </w:r>
    </w:p>
    <w:p w14:paraId="7367AEF8">
      <w:pPr>
        <w:numPr>
          <w:ilvl w:val="0"/>
          <w:numId w:val="15"/>
        </w:numPr>
        <w:spacing w:before="120" w:after="120" w:line="288" w:lineRule="auto"/>
        <w:ind w:left="0"/>
        <w:jc w:val="left"/>
      </w:pPr>
      <w:r>
        <w:rPr>
          <w:rFonts w:ascii="Arial" w:hAnsi="Arial" w:eastAsia="等线" w:cs="Arial"/>
          <w:sz w:val="22"/>
        </w:rPr>
        <w:t>掺量核算方法：采用光谱分析法测定吊顶模块中再生铝合金含量，结合生产过程中的再生铝投料记录，精准核算掺量，确保数据准确，与可再循环材料中铝合金的回收利用比例衔接。</w:t>
      </w:r>
    </w:p>
    <w:p w14:paraId="1C100DF5">
      <w:pPr>
        <w:numPr>
          <w:ilvl w:val="0"/>
          <w:numId w:val="16"/>
        </w:numPr>
        <w:spacing w:before="120" w:after="120" w:line="288" w:lineRule="auto"/>
        <w:ind w:left="0"/>
        <w:jc w:val="left"/>
      </w:pPr>
      <w:r>
        <w:rPr>
          <w:rFonts w:ascii="Arial" w:hAnsi="Arial" w:eastAsia="等线" w:cs="Arial"/>
          <w:sz w:val="22"/>
        </w:rPr>
        <w:t>说明：再生铝合金掺量控制在85%-90%之间，保障吊顶模块的厚度、耐腐蚀性、表面涂层等性能达标，实现废弃铝合金高效回收利用，符合绿色建筑节能降耗要求。</w:t>
      </w:r>
    </w:p>
    <w:p w14:paraId="561F6512">
      <w:pPr>
        <w:spacing w:before="320" w:after="120" w:line="288" w:lineRule="auto"/>
        <w:ind w:left="0"/>
        <w:jc w:val="left"/>
        <w:outlineLvl w:val="1"/>
      </w:pPr>
      <w:bookmarkStart w:id="6" w:name="heading_6"/>
      <w:r>
        <w:rPr>
          <w:rFonts w:ascii="Arial" w:hAnsi="Arial" w:eastAsia="等线" w:cs="Arial"/>
          <w:b/>
          <w:sz w:val="32"/>
        </w:rPr>
        <w:t>2.5 再生木质复合墙板</w:t>
      </w:r>
      <w:bookmarkEnd w:id="6"/>
    </w:p>
    <w:p w14:paraId="71E565E5">
      <w:pPr>
        <w:numPr>
          <w:ilvl w:val="0"/>
          <w:numId w:val="17"/>
        </w:numPr>
        <w:spacing w:before="120" w:after="120" w:line="288" w:lineRule="auto"/>
        <w:ind w:left="0"/>
        <w:jc w:val="left"/>
      </w:pPr>
      <w:r>
        <w:rPr>
          <w:rFonts w:ascii="Arial" w:hAnsi="Arial" w:eastAsia="等线" w:cs="Arial"/>
          <w:sz w:val="22"/>
        </w:rPr>
        <w:t>废弃物类型：废弃木质材料（主要为废弃建筑木材、家具木材、林业废弃物等经破碎、加工后的再生木质纤维）。</w:t>
      </w:r>
    </w:p>
    <w:p w14:paraId="62B80805">
      <w:pPr>
        <w:numPr>
          <w:ilvl w:val="0"/>
          <w:numId w:val="18"/>
        </w:numPr>
        <w:spacing w:before="120" w:after="120" w:line="288" w:lineRule="auto"/>
        <w:ind w:left="0"/>
        <w:jc w:val="left"/>
      </w:pPr>
      <w:r>
        <w:rPr>
          <w:rFonts w:ascii="Arial" w:hAnsi="Arial" w:eastAsia="等线" w:cs="Arial"/>
          <w:sz w:val="22"/>
        </w:rPr>
        <w:t>废弃物掺量标准：≥40%（按材料总质量占比核算），与利废材料检测报告中规格型号要求一致，衔接可再循环材料中墙板相关品类的再生成分核算。</w:t>
      </w:r>
    </w:p>
    <w:p w14:paraId="6C189D2E">
      <w:pPr>
        <w:numPr>
          <w:ilvl w:val="0"/>
          <w:numId w:val="19"/>
        </w:numPr>
        <w:spacing w:before="120" w:after="120" w:line="288" w:lineRule="auto"/>
        <w:ind w:left="0"/>
        <w:jc w:val="left"/>
      </w:pPr>
      <w:r>
        <w:rPr>
          <w:rFonts w:ascii="Arial" w:hAnsi="Arial" w:eastAsia="等线" w:cs="Arial"/>
          <w:sz w:val="22"/>
        </w:rPr>
        <w:t>掺量核算方法：采用重量法测定墙板中再生木质纤维质量，结合生产配比记录，核算再生木质纤维占比，确保掺量达标，同时保证材料甲醛释放量、防火等级等性能符合标准。</w:t>
      </w:r>
    </w:p>
    <w:p w14:paraId="3A456924">
      <w:pPr>
        <w:numPr>
          <w:ilvl w:val="0"/>
          <w:numId w:val="20"/>
        </w:numPr>
        <w:spacing w:before="120" w:after="120" w:line="288" w:lineRule="auto"/>
        <w:ind w:left="0"/>
        <w:jc w:val="left"/>
      </w:pPr>
      <w:r>
        <w:rPr>
          <w:rFonts w:ascii="Arial" w:hAnsi="Arial" w:eastAsia="等线" w:cs="Arial"/>
          <w:sz w:val="22"/>
        </w:rPr>
        <w:t>说明：再生木质纤维掺量控制在40%-45%之间，兼顾墙板的隔音、防火、环保性能，实现废弃木质材料资源化利用，减少原生木材砍伐，保护生态环境。</w:t>
      </w:r>
    </w:p>
    <w:p w14:paraId="6AD19782">
      <w:pPr>
        <w:spacing w:before="320" w:after="120" w:line="288" w:lineRule="auto"/>
        <w:ind w:left="0"/>
        <w:jc w:val="left"/>
        <w:outlineLvl w:val="1"/>
      </w:pPr>
      <w:bookmarkStart w:id="7" w:name="heading_7"/>
      <w:r>
        <w:rPr>
          <w:rFonts w:ascii="Arial" w:hAnsi="Arial" w:eastAsia="等线" w:cs="Arial"/>
          <w:b/>
          <w:sz w:val="32"/>
        </w:rPr>
        <w:t>2.6 再生塑料密封胶（耐候型）</w:t>
      </w:r>
      <w:bookmarkEnd w:id="7"/>
    </w:p>
    <w:p w14:paraId="1B0E060C">
      <w:pPr>
        <w:numPr>
          <w:ilvl w:val="0"/>
          <w:numId w:val="21"/>
        </w:numPr>
        <w:spacing w:before="120" w:after="120" w:line="288" w:lineRule="auto"/>
        <w:ind w:left="0"/>
        <w:jc w:val="left"/>
      </w:pPr>
      <w:r>
        <w:rPr>
          <w:rFonts w:ascii="Arial" w:hAnsi="Arial" w:eastAsia="等线" w:cs="Arial"/>
          <w:sz w:val="22"/>
        </w:rPr>
        <w:t>废弃物类型：废弃树脂及塑料（主要为废弃密封胶、塑料制品等经回收、加工后的再生树脂）。</w:t>
      </w:r>
    </w:p>
    <w:p w14:paraId="3AB0A564">
      <w:pPr>
        <w:numPr>
          <w:ilvl w:val="0"/>
          <w:numId w:val="22"/>
        </w:numPr>
        <w:spacing w:before="120" w:after="120" w:line="288" w:lineRule="auto"/>
        <w:ind w:left="0"/>
        <w:jc w:val="left"/>
      </w:pPr>
      <w:r>
        <w:rPr>
          <w:rFonts w:ascii="Arial" w:hAnsi="Arial" w:eastAsia="等线" w:cs="Arial"/>
          <w:sz w:val="22"/>
        </w:rPr>
        <w:t>废弃物掺量标准：≥30%（按材料总质量占比核算），与利废材料检测报告中规格型号要求一致，按需衔接可再循环材料中辅助材料的再生成分核算。</w:t>
      </w:r>
    </w:p>
    <w:p w14:paraId="19B050FE">
      <w:pPr>
        <w:numPr>
          <w:ilvl w:val="0"/>
          <w:numId w:val="23"/>
        </w:numPr>
        <w:spacing w:before="120" w:after="120" w:line="288" w:lineRule="auto"/>
        <w:ind w:left="0"/>
        <w:jc w:val="left"/>
      </w:pPr>
      <w:r>
        <w:rPr>
          <w:rFonts w:ascii="Arial" w:hAnsi="Arial" w:eastAsia="等线" w:cs="Arial"/>
          <w:sz w:val="22"/>
        </w:rPr>
        <w:t>掺量核算方法：采用凝胶渗透色谱法测定密封胶中再生树脂含量，结合生产厂家提供的再生原料投料记录，核算再生树脂占比，确保掺量达标，同时保证粘结强度、耐候性等性能符合要求。</w:t>
      </w:r>
    </w:p>
    <w:p w14:paraId="4D1E16E6">
      <w:pPr>
        <w:numPr>
          <w:ilvl w:val="0"/>
          <w:numId w:val="24"/>
        </w:numPr>
        <w:spacing w:before="120" w:after="120" w:line="288" w:lineRule="auto"/>
        <w:ind w:left="0"/>
        <w:jc w:val="left"/>
      </w:pPr>
      <w:r>
        <w:rPr>
          <w:rFonts w:ascii="Arial" w:hAnsi="Arial" w:eastAsia="等线" w:cs="Arial"/>
          <w:sz w:val="22"/>
        </w:rPr>
        <w:t>说明：再生树脂掺量控制在30%-35%之间，保障密封胶的粘结性能、耐候性及环保性能，实现废弃树脂回收再利用，减少化工原料消耗，降低环境污染。</w:t>
      </w:r>
    </w:p>
    <w:p w14:paraId="71A5A212">
      <w:pPr>
        <w:spacing w:before="380" w:after="140" w:line="288" w:lineRule="auto"/>
        <w:ind w:left="0"/>
        <w:jc w:val="left"/>
        <w:outlineLvl w:val="0"/>
      </w:pPr>
      <w:bookmarkStart w:id="8" w:name="heading_8"/>
      <w:r>
        <w:rPr>
          <w:rFonts w:ascii="Arial" w:hAnsi="Arial" w:eastAsia="等线" w:cs="Arial"/>
          <w:b/>
          <w:sz w:val="36"/>
        </w:rPr>
        <w:t>三、废弃物掺量核算依据</w:t>
      </w:r>
      <w:bookmarkEnd w:id="8"/>
    </w:p>
    <w:p w14:paraId="753AC2A5">
      <w:pPr>
        <w:numPr>
          <w:ilvl w:val="0"/>
          <w:numId w:val="25"/>
        </w:numPr>
        <w:spacing w:before="120" w:after="120" w:line="288" w:lineRule="auto"/>
        <w:ind w:left="0"/>
        <w:jc w:val="left"/>
      </w:pPr>
      <w:r>
        <w:rPr>
          <w:rFonts w:ascii="Arial" w:hAnsi="Arial" w:eastAsia="等线" w:cs="Arial"/>
          <w:sz w:val="22"/>
        </w:rPr>
        <w:t>《绿色建筑评价标准》GB/T50378-2019(2024年版)（相关条款对利废材料废弃物掺量的要求）；</w:t>
      </w:r>
    </w:p>
    <w:p w14:paraId="51A2DCF7">
      <w:pPr>
        <w:numPr>
          <w:ilvl w:val="0"/>
          <w:numId w:val="26"/>
        </w:numPr>
        <w:spacing w:before="120" w:after="120" w:line="288" w:lineRule="auto"/>
        <w:ind w:left="0"/>
        <w:jc w:val="left"/>
      </w:pPr>
      <w:r>
        <w:rPr>
          <w:rFonts w:ascii="Arial" w:hAnsi="Arial" w:eastAsia="等线" w:cs="Arial"/>
          <w:sz w:val="22"/>
        </w:rPr>
        <w:t>《装配式内装修技术标准》GB/T 51349-2019（工业化内装利废材料应用相关规范）；</w:t>
      </w:r>
    </w:p>
    <w:p w14:paraId="5A5255F2">
      <w:pPr>
        <w:numPr>
          <w:ilvl w:val="0"/>
          <w:numId w:val="27"/>
        </w:numPr>
        <w:spacing w:before="120" w:after="120" w:line="288" w:lineRule="auto"/>
        <w:ind w:left="0"/>
        <w:jc w:val="left"/>
      </w:pPr>
      <w:r>
        <w:rPr>
          <w:rFonts w:ascii="Arial" w:hAnsi="Arial" w:eastAsia="等线" w:cs="Arial"/>
          <w:sz w:val="22"/>
        </w:rPr>
        <w:t>《再生骨料应用技术规程》JGJ/T 240-2011（再生骨料掺量核算相关要求）；</w:t>
      </w:r>
    </w:p>
    <w:p w14:paraId="1EE1A274">
      <w:pPr>
        <w:numPr>
          <w:ilvl w:val="0"/>
          <w:numId w:val="28"/>
        </w:numPr>
        <w:spacing w:before="120" w:after="120" w:line="288" w:lineRule="auto"/>
        <w:ind w:left="0"/>
        <w:jc w:val="left"/>
      </w:pPr>
      <w:r>
        <w:rPr>
          <w:rFonts w:ascii="Arial" w:hAnsi="Arial" w:eastAsia="等线" w:cs="Arial"/>
          <w:sz w:val="22"/>
        </w:rPr>
        <w:t>《再生塑料产品技术要求》GB/T 25182-2010（再生塑料掺量核算相关规范）；</w:t>
      </w:r>
    </w:p>
    <w:p w14:paraId="72C76642">
      <w:pPr>
        <w:numPr>
          <w:ilvl w:val="0"/>
          <w:numId w:val="29"/>
        </w:numPr>
        <w:spacing w:before="120" w:after="120" w:line="288" w:lineRule="auto"/>
        <w:ind w:left="0"/>
        <w:jc w:val="left"/>
      </w:pPr>
      <w:r>
        <w:rPr>
          <w:rFonts w:ascii="Arial" w:hAnsi="Arial" w:eastAsia="等线" w:cs="Arial"/>
          <w:sz w:val="22"/>
        </w:rPr>
        <w:t>《再生金属材料应用规范》GB/T 38800-2020（再生金属掺量核算相关要求）；</w:t>
      </w:r>
    </w:p>
    <w:p w14:paraId="32EEDB60">
      <w:pPr>
        <w:numPr>
          <w:ilvl w:val="0"/>
          <w:numId w:val="30"/>
        </w:numPr>
        <w:spacing w:before="120" w:after="120" w:line="288" w:lineRule="auto"/>
        <w:ind w:left="0"/>
        <w:jc w:val="left"/>
      </w:pPr>
      <w:r>
        <w:rPr>
          <w:rFonts w:ascii="Arial" w:hAnsi="Arial" w:eastAsia="等线" w:cs="Arial"/>
          <w:sz w:val="22"/>
        </w:rPr>
        <w:t>本项目利废材料产品检测报告（各类材料废弃物掺量标准及检测要求）；</w:t>
      </w:r>
    </w:p>
    <w:p w14:paraId="29DA0579">
      <w:pPr>
        <w:numPr>
          <w:ilvl w:val="0"/>
          <w:numId w:val="31"/>
        </w:numPr>
        <w:spacing w:before="120" w:after="120" w:line="288" w:lineRule="auto"/>
        <w:ind w:left="0"/>
        <w:jc w:val="left"/>
      </w:pPr>
      <w:r>
        <w:rPr>
          <w:rFonts w:ascii="Arial" w:hAnsi="Arial" w:eastAsia="等线" w:cs="Arial"/>
          <w:sz w:val="22"/>
        </w:rPr>
        <w:t>本项目可再循环材料和可再利用材料用量计算书（再生成分核算逻辑及比例）；</w:t>
      </w:r>
    </w:p>
    <w:p w14:paraId="588CABF0">
      <w:pPr>
        <w:numPr>
          <w:ilvl w:val="0"/>
          <w:numId w:val="32"/>
        </w:numPr>
        <w:spacing w:before="120" w:after="120" w:line="288" w:lineRule="auto"/>
        <w:ind w:left="0"/>
        <w:jc w:val="left"/>
      </w:pPr>
      <w:r>
        <w:rPr>
          <w:rFonts w:ascii="Arial" w:hAnsi="Arial" w:eastAsia="等线" w:cs="Arial"/>
          <w:sz w:val="22"/>
        </w:rPr>
        <w:t>各类利废材料生产厂家提供的产品说明书、再生原料配比记录及检测报告；</w:t>
      </w:r>
    </w:p>
    <w:p w14:paraId="5C8BACA2">
      <w:pPr>
        <w:numPr>
          <w:ilvl w:val="0"/>
          <w:numId w:val="33"/>
        </w:numPr>
        <w:spacing w:before="120" w:after="120" w:line="288" w:lineRule="auto"/>
        <w:ind w:left="0"/>
        <w:jc w:val="left"/>
      </w:pPr>
      <w:r>
        <w:rPr>
          <w:rFonts w:ascii="Arial" w:hAnsi="Arial" w:eastAsia="等线" w:cs="Arial"/>
          <w:sz w:val="22"/>
        </w:rPr>
        <w:t>本项目现场取样及废弃物掺量核算记录（同步留存，可追溯）。</w:t>
      </w:r>
    </w:p>
    <w:p w14:paraId="324F2BEE">
      <w:pPr>
        <w:spacing w:before="380" w:after="140" w:line="288" w:lineRule="auto"/>
        <w:ind w:left="0"/>
        <w:jc w:val="left"/>
        <w:outlineLvl w:val="0"/>
      </w:pPr>
      <w:bookmarkStart w:id="9" w:name="heading_9"/>
      <w:r>
        <w:rPr>
          <w:rFonts w:ascii="Arial" w:hAnsi="Arial" w:eastAsia="等线" w:cs="Arial"/>
          <w:b/>
          <w:sz w:val="36"/>
        </w:rPr>
        <w:t>四、证明材料要求及清单</w:t>
      </w:r>
      <w:bookmarkEnd w:id="9"/>
    </w:p>
    <w:p w14:paraId="28054104">
      <w:pPr>
        <w:spacing w:before="120" w:after="120" w:line="288" w:lineRule="auto"/>
        <w:ind w:left="0"/>
        <w:jc w:val="left"/>
      </w:pPr>
      <w:r>
        <w:rPr>
          <w:rFonts w:ascii="Arial" w:hAnsi="Arial" w:eastAsia="等线" w:cs="Arial"/>
          <w:sz w:val="22"/>
        </w:rPr>
        <w:t>为确保利废建材废弃物掺量真实、合规，需提供以下证明材料，所有材料需加盖相关单位公章，归档留存，作为工程验收、绿色建筑评价及可再循环材料核算的重要依据，与利废材料检测报告、可再循环材料计算书同步归档：</w:t>
      </w:r>
    </w:p>
    <w:p w14:paraId="7F3FCED3">
      <w:pPr>
        <w:spacing w:before="320" w:after="120" w:line="288" w:lineRule="auto"/>
        <w:ind w:left="0"/>
        <w:jc w:val="left"/>
        <w:outlineLvl w:val="1"/>
      </w:pPr>
      <w:bookmarkStart w:id="10" w:name="heading_10"/>
      <w:r>
        <w:rPr>
          <w:rFonts w:ascii="Arial" w:hAnsi="Arial" w:eastAsia="等线" w:cs="Arial"/>
          <w:b/>
          <w:sz w:val="32"/>
        </w:rPr>
        <w:t>4.1 必备证明材料清单</w:t>
      </w:r>
      <w:bookmarkEnd w:id="1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1BF616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080179B">
            <w:pPr>
              <w:spacing w:before="120" w:after="120" w:line="288" w:lineRule="auto"/>
              <w:ind w:left="0"/>
              <w:jc w:val="left"/>
            </w:pPr>
            <w:r>
              <w:rPr>
                <w:rFonts w:ascii="Arial" w:hAnsi="Arial" w:eastAsia="等线" w:cs="Arial"/>
                <w:sz w:val="22"/>
              </w:rPr>
              <w:t>序号</w:t>
            </w:r>
          </w:p>
        </w:tc>
        <w:tc>
          <w:tcPr>
            <w:tcW w:w="1650" w:type="dxa"/>
            <w:tcMar>
              <w:top w:w="60" w:type="dxa"/>
              <w:left w:w="120" w:type="dxa"/>
              <w:bottom w:w="30" w:type="dxa"/>
              <w:right w:w="120" w:type="dxa"/>
            </w:tcMar>
          </w:tcPr>
          <w:p w14:paraId="3764616C">
            <w:pPr>
              <w:spacing w:before="120" w:after="120" w:line="288" w:lineRule="auto"/>
              <w:ind w:left="0"/>
              <w:jc w:val="left"/>
            </w:pPr>
            <w:r>
              <w:rPr>
                <w:rFonts w:ascii="Arial" w:hAnsi="Arial" w:eastAsia="等线" w:cs="Arial"/>
                <w:sz w:val="22"/>
              </w:rPr>
              <w:t>材料名称</w:t>
            </w:r>
          </w:p>
        </w:tc>
        <w:tc>
          <w:tcPr>
            <w:tcW w:w="1650" w:type="dxa"/>
            <w:tcMar>
              <w:top w:w="60" w:type="dxa"/>
              <w:left w:w="120" w:type="dxa"/>
              <w:bottom w:w="30" w:type="dxa"/>
              <w:right w:w="120" w:type="dxa"/>
            </w:tcMar>
          </w:tcPr>
          <w:p w14:paraId="657656B2">
            <w:pPr>
              <w:spacing w:before="120" w:after="120" w:line="288" w:lineRule="auto"/>
              <w:ind w:left="0"/>
              <w:jc w:val="left"/>
            </w:pPr>
            <w:r>
              <w:rPr>
                <w:rFonts w:ascii="Arial" w:hAnsi="Arial" w:eastAsia="等线" w:cs="Arial"/>
                <w:sz w:val="22"/>
              </w:rPr>
              <w:t>所需证明材料</w:t>
            </w:r>
          </w:p>
        </w:tc>
        <w:tc>
          <w:tcPr>
            <w:tcW w:w="1650" w:type="dxa"/>
            <w:tcMar>
              <w:top w:w="60" w:type="dxa"/>
              <w:left w:w="120" w:type="dxa"/>
              <w:bottom w:w="30" w:type="dxa"/>
              <w:right w:w="120" w:type="dxa"/>
            </w:tcMar>
          </w:tcPr>
          <w:p w14:paraId="63FB1A82">
            <w:pPr>
              <w:spacing w:before="120" w:after="120" w:line="288" w:lineRule="auto"/>
              <w:ind w:left="0"/>
              <w:jc w:val="left"/>
            </w:pPr>
            <w:r>
              <w:rPr>
                <w:rFonts w:ascii="Arial" w:hAnsi="Arial" w:eastAsia="等线" w:cs="Arial"/>
                <w:sz w:val="22"/>
              </w:rPr>
              <w:t>材料要求</w:t>
            </w:r>
          </w:p>
        </w:tc>
        <w:tc>
          <w:tcPr>
            <w:tcW w:w="1650" w:type="dxa"/>
            <w:tcMar>
              <w:top w:w="60" w:type="dxa"/>
              <w:left w:w="120" w:type="dxa"/>
              <w:bottom w:w="30" w:type="dxa"/>
              <w:right w:w="120" w:type="dxa"/>
            </w:tcMar>
          </w:tcPr>
          <w:p w14:paraId="23115604">
            <w:pPr>
              <w:spacing w:before="120" w:after="120" w:line="288" w:lineRule="auto"/>
              <w:ind w:left="0"/>
              <w:jc w:val="left"/>
            </w:pPr>
            <w:r>
              <w:rPr>
                <w:rFonts w:ascii="Arial" w:hAnsi="Arial" w:eastAsia="等线" w:cs="Arial"/>
                <w:sz w:val="22"/>
              </w:rPr>
              <w:t>备注</w:t>
            </w:r>
          </w:p>
        </w:tc>
      </w:tr>
      <w:tr w14:paraId="63AF12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BB7BA1E">
            <w:pPr>
              <w:spacing w:before="120" w:after="120" w:line="288" w:lineRule="auto"/>
              <w:ind w:left="0"/>
              <w:jc w:val="left"/>
            </w:pPr>
            <w:r>
              <w:rPr>
                <w:rFonts w:ascii="Arial" w:hAnsi="Arial" w:eastAsia="等线" w:cs="Arial"/>
                <w:sz w:val="22"/>
              </w:rPr>
              <w:t>1</w:t>
            </w:r>
          </w:p>
        </w:tc>
        <w:tc>
          <w:tcPr>
            <w:tcW w:w="1650" w:type="dxa"/>
            <w:tcMar>
              <w:top w:w="60" w:type="dxa"/>
              <w:left w:w="120" w:type="dxa"/>
              <w:bottom w:w="30" w:type="dxa"/>
              <w:right w:w="120" w:type="dxa"/>
            </w:tcMar>
          </w:tcPr>
          <w:p w14:paraId="73383CD2">
            <w:pPr>
              <w:spacing w:before="120" w:after="120" w:line="288" w:lineRule="auto"/>
              <w:ind w:left="0"/>
              <w:jc w:val="left"/>
            </w:pPr>
            <w:r>
              <w:rPr>
                <w:rFonts w:ascii="Arial" w:hAnsi="Arial" w:eastAsia="等线" w:cs="Arial"/>
                <w:sz w:val="22"/>
              </w:rPr>
              <w:t>再生骨料预制水磨石地砖</w:t>
            </w:r>
          </w:p>
        </w:tc>
        <w:tc>
          <w:tcPr>
            <w:tcW w:w="1650" w:type="dxa"/>
            <w:tcMar>
              <w:top w:w="60" w:type="dxa"/>
              <w:left w:w="120" w:type="dxa"/>
              <w:bottom w:w="30" w:type="dxa"/>
              <w:right w:w="120" w:type="dxa"/>
            </w:tcMar>
          </w:tcPr>
          <w:p w14:paraId="55504EB2">
            <w:pPr>
              <w:spacing w:before="120" w:after="120" w:line="288" w:lineRule="auto"/>
              <w:ind w:left="0"/>
              <w:jc w:val="left"/>
            </w:pPr>
            <w:r>
              <w:rPr>
                <w:rFonts w:ascii="Arial" w:hAnsi="Arial" w:eastAsia="等线" w:cs="Arial"/>
                <w:sz w:val="22"/>
              </w:rPr>
              <w:t>1. 再生骨料来源证明（含废弃材料回收单位资质、回收记录）；2. 再生骨料掺量检测报告（第三方检测机构出具）；3. 生产厂家再生骨料配比记录；4. 材料产品合格证（注明再生骨料掺量）。</w:t>
            </w:r>
          </w:p>
        </w:tc>
        <w:tc>
          <w:tcPr>
            <w:tcW w:w="1650" w:type="dxa"/>
            <w:tcMar>
              <w:top w:w="60" w:type="dxa"/>
              <w:left w:w="120" w:type="dxa"/>
              <w:bottom w:w="30" w:type="dxa"/>
              <w:right w:w="120" w:type="dxa"/>
            </w:tcMar>
          </w:tcPr>
          <w:p w14:paraId="692B936D">
            <w:pPr>
              <w:spacing w:before="120" w:after="120" w:line="288" w:lineRule="auto"/>
              <w:ind w:left="0"/>
              <w:jc w:val="left"/>
            </w:pPr>
            <w:r>
              <w:rPr>
                <w:rFonts w:ascii="Arial" w:hAnsi="Arial" w:eastAsia="等线" w:cs="Arial"/>
                <w:sz w:val="22"/>
              </w:rPr>
              <w:t>证明材料需明确再生骨料来源、掺量，检测报告需具备法定检测资质，与利废材料检测报告数据一致。</w:t>
            </w:r>
          </w:p>
        </w:tc>
        <w:tc>
          <w:tcPr>
            <w:tcW w:w="1650" w:type="dxa"/>
            <w:tcMar>
              <w:top w:w="60" w:type="dxa"/>
              <w:left w:w="120" w:type="dxa"/>
              <w:bottom w:w="30" w:type="dxa"/>
              <w:right w:w="120" w:type="dxa"/>
            </w:tcMar>
          </w:tcPr>
          <w:p w14:paraId="05DCD3B4">
            <w:pPr>
              <w:spacing w:before="120" w:after="120" w:line="288" w:lineRule="auto"/>
              <w:ind w:left="0"/>
              <w:jc w:val="left"/>
            </w:pPr>
            <w:r>
              <w:rPr>
                <w:rFonts w:ascii="Arial" w:hAnsi="Arial" w:eastAsia="等线" w:cs="Arial"/>
                <w:sz w:val="22"/>
              </w:rPr>
              <w:t>对应可再循环材料中水磨石品类，同步留存掺量核算记录。</w:t>
            </w:r>
          </w:p>
        </w:tc>
      </w:tr>
      <w:tr w14:paraId="12A5E9D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A344CD5">
            <w:pPr>
              <w:spacing w:before="120" w:after="120" w:line="288" w:lineRule="auto"/>
              <w:ind w:left="0"/>
              <w:jc w:val="left"/>
            </w:pPr>
            <w:r>
              <w:rPr>
                <w:rFonts w:ascii="Arial" w:hAnsi="Arial" w:eastAsia="等线" w:cs="Arial"/>
                <w:sz w:val="22"/>
              </w:rPr>
              <w:t>2</w:t>
            </w:r>
          </w:p>
        </w:tc>
        <w:tc>
          <w:tcPr>
            <w:tcW w:w="1650" w:type="dxa"/>
            <w:tcMar>
              <w:top w:w="60" w:type="dxa"/>
              <w:left w:w="120" w:type="dxa"/>
              <w:bottom w:w="30" w:type="dxa"/>
              <w:right w:w="120" w:type="dxa"/>
            </w:tcMar>
          </w:tcPr>
          <w:p w14:paraId="009102E2">
            <w:pPr>
              <w:spacing w:before="120" w:after="120" w:line="288" w:lineRule="auto"/>
              <w:ind w:left="0"/>
              <w:jc w:val="left"/>
            </w:pPr>
            <w:r>
              <w:rPr>
                <w:rFonts w:ascii="Arial" w:hAnsi="Arial" w:eastAsia="等线" w:cs="Arial"/>
                <w:sz w:val="22"/>
              </w:rPr>
              <w:t>再生塑料SPC锁扣地板</w:t>
            </w:r>
          </w:p>
        </w:tc>
        <w:tc>
          <w:tcPr>
            <w:tcW w:w="1650" w:type="dxa"/>
            <w:tcMar>
              <w:top w:w="60" w:type="dxa"/>
              <w:left w:w="120" w:type="dxa"/>
              <w:bottom w:w="30" w:type="dxa"/>
              <w:right w:w="120" w:type="dxa"/>
            </w:tcMar>
          </w:tcPr>
          <w:p w14:paraId="6E050411">
            <w:pPr>
              <w:spacing w:before="120" w:after="120" w:line="288" w:lineRule="auto"/>
              <w:ind w:left="0"/>
              <w:jc w:val="left"/>
            </w:pPr>
            <w:r>
              <w:rPr>
                <w:rFonts w:ascii="Arial" w:hAnsi="Arial" w:eastAsia="等线" w:cs="Arial"/>
                <w:sz w:val="22"/>
              </w:rPr>
              <w:t>1. 废弃塑料回收证明（含回收单位资质、回收记录）；2. 再生塑料掺量检测报告（第三方检测机构出具）；3. 生产厂家再生塑料配比及加工记录；4. 材料环保检测报告（同步证明E0级环保达标）。</w:t>
            </w:r>
          </w:p>
        </w:tc>
        <w:tc>
          <w:tcPr>
            <w:tcW w:w="1650" w:type="dxa"/>
            <w:tcMar>
              <w:top w:w="60" w:type="dxa"/>
              <w:left w:w="120" w:type="dxa"/>
              <w:bottom w:w="30" w:type="dxa"/>
              <w:right w:w="120" w:type="dxa"/>
            </w:tcMar>
          </w:tcPr>
          <w:p w14:paraId="3BEA5B2B">
            <w:pPr>
              <w:spacing w:before="120" w:after="120" w:line="288" w:lineRule="auto"/>
              <w:ind w:left="0"/>
              <w:jc w:val="left"/>
            </w:pPr>
            <w:r>
              <w:rPr>
                <w:rFonts w:ascii="Arial" w:hAnsi="Arial" w:eastAsia="等线" w:cs="Arial"/>
                <w:sz w:val="22"/>
              </w:rPr>
              <w:t>证明材料需明确再生塑料类型、掺量，与可再循环材料中SPC地板再生塑料占比核算一致。</w:t>
            </w:r>
          </w:p>
        </w:tc>
        <w:tc>
          <w:tcPr>
            <w:tcW w:w="1650" w:type="dxa"/>
            <w:tcMar>
              <w:top w:w="60" w:type="dxa"/>
              <w:left w:w="120" w:type="dxa"/>
              <w:bottom w:w="30" w:type="dxa"/>
              <w:right w:w="120" w:type="dxa"/>
            </w:tcMar>
          </w:tcPr>
          <w:p w14:paraId="3C10695F">
            <w:pPr>
              <w:spacing w:before="120" w:after="120" w:line="288" w:lineRule="auto"/>
              <w:ind w:left="0"/>
              <w:jc w:val="left"/>
            </w:pPr>
            <w:r>
              <w:rPr>
                <w:rFonts w:ascii="Arial" w:hAnsi="Arial" w:eastAsia="等线" w:cs="Arial"/>
                <w:sz w:val="22"/>
              </w:rPr>
              <w:t>衔接可再循环材料中SPC地板70%回收利用比例的核算依据。</w:t>
            </w:r>
          </w:p>
        </w:tc>
      </w:tr>
      <w:tr w14:paraId="57ADF74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4587CEF">
            <w:pPr>
              <w:spacing w:before="120" w:after="120" w:line="288" w:lineRule="auto"/>
              <w:ind w:left="0"/>
              <w:jc w:val="left"/>
            </w:pPr>
            <w:r>
              <w:rPr>
                <w:rFonts w:ascii="Arial" w:hAnsi="Arial" w:eastAsia="等线" w:cs="Arial"/>
                <w:sz w:val="22"/>
              </w:rPr>
              <w:t>3</w:t>
            </w:r>
          </w:p>
        </w:tc>
        <w:tc>
          <w:tcPr>
            <w:tcW w:w="1650" w:type="dxa"/>
            <w:tcMar>
              <w:top w:w="60" w:type="dxa"/>
              <w:left w:w="120" w:type="dxa"/>
              <w:bottom w:w="30" w:type="dxa"/>
              <w:right w:w="120" w:type="dxa"/>
            </w:tcMar>
          </w:tcPr>
          <w:p w14:paraId="506E42E2">
            <w:pPr>
              <w:spacing w:before="120" w:after="120" w:line="288" w:lineRule="auto"/>
              <w:ind w:left="0"/>
              <w:jc w:val="left"/>
            </w:pPr>
            <w:r>
              <w:rPr>
                <w:rFonts w:ascii="Arial" w:hAnsi="Arial" w:eastAsia="等线" w:cs="Arial"/>
                <w:sz w:val="22"/>
              </w:rPr>
              <w:t>再生金属轻钢龙骨</w:t>
            </w:r>
          </w:p>
        </w:tc>
        <w:tc>
          <w:tcPr>
            <w:tcW w:w="1650" w:type="dxa"/>
            <w:tcMar>
              <w:top w:w="60" w:type="dxa"/>
              <w:left w:w="120" w:type="dxa"/>
              <w:bottom w:w="30" w:type="dxa"/>
              <w:right w:w="120" w:type="dxa"/>
            </w:tcMar>
          </w:tcPr>
          <w:p w14:paraId="76554127">
            <w:pPr>
              <w:spacing w:before="120" w:after="120" w:line="288" w:lineRule="auto"/>
              <w:ind w:left="0"/>
              <w:jc w:val="left"/>
            </w:pPr>
            <w:r>
              <w:rPr>
                <w:rFonts w:ascii="Arial" w:hAnsi="Arial" w:eastAsia="等线" w:cs="Arial"/>
                <w:sz w:val="22"/>
              </w:rPr>
              <w:t>1. 废弃钢材回收证明（含回收单位资质、回收记录）；2. 再生钢材掺量检测报告（第三方检测机构出具）；3. 生产厂家再生钢材熔炼及加工记录；4. 龙骨镀锌层质量检测报告。</w:t>
            </w:r>
          </w:p>
        </w:tc>
        <w:tc>
          <w:tcPr>
            <w:tcW w:w="1650" w:type="dxa"/>
            <w:tcMar>
              <w:top w:w="60" w:type="dxa"/>
              <w:left w:w="120" w:type="dxa"/>
              <w:bottom w:w="30" w:type="dxa"/>
              <w:right w:w="120" w:type="dxa"/>
            </w:tcMar>
          </w:tcPr>
          <w:p w14:paraId="669195B8">
            <w:pPr>
              <w:spacing w:before="120" w:after="120" w:line="288" w:lineRule="auto"/>
              <w:ind w:left="0"/>
              <w:jc w:val="left"/>
            </w:pPr>
            <w:r>
              <w:rPr>
                <w:rFonts w:ascii="Arial" w:hAnsi="Arial" w:eastAsia="等线" w:cs="Arial"/>
                <w:sz w:val="22"/>
              </w:rPr>
              <w:t>证明材料需明确再生钢材掺量，与利废材料检测报告中再生钢材占比要求一致。</w:t>
            </w:r>
          </w:p>
        </w:tc>
        <w:tc>
          <w:tcPr>
            <w:tcW w:w="1650" w:type="dxa"/>
            <w:tcMar>
              <w:top w:w="60" w:type="dxa"/>
              <w:left w:w="120" w:type="dxa"/>
              <w:bottom w:w="30" w:type="dxa"/>
              <w:right w:w="120" w:type="dxa"/>
            </w:tcMar>
          </w:tcPr>
          <w:p w14:paraId="639961A2">
            <w:pPr>
              <w:spacing w:before="120" w:after="120" w:line="288" w:lineRule="auto"/>
              <w:ind w:left="0"/>
              <w:jc w:val="left"/>
            </w:pPr>
            <w:r>
              <w:rPr>
                <w:rFonts w:ascii="Arial" w:hAnsi="Arial" w:eastAsia="等线" w:cs="Arial"/>
                <w:sz w:val="22"/>
              </w:rPr>
              <w:t>匹配可再循环材料中轻钢龙骨（钢材）100%可再循环的特性。</w:t>
            </w:r>
          </w:p>
        </w:tc>
      </w:tr>
      <w:tr w14:paraId="3E6D12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C20C114">
            <w:pPr>
              <w:spacing w:before="120" w:after="120" w:line="288" w:lineRule="auto"/>
              <w:ind w:left="0"/>
              <w:jc w:val="left"/>
            </w:pPr>
            <w:r>
              <w:rPr>
                <w:rFonts w:ascii="Arial" w:hAnsi="Arial" w:eastAsia="等线" w:cs="Arial"/>
                <w:sz w:val="22"/>
              </w:rPr>
              <w:t>4</w:t>
            </w:r>
          </w:p>
        </w:tc>
        <w:tc>
          <w:tcPr>
            <w:tcW w:w="1650" w:type="dxa"/>
            <w:tcMar>
              <w:top w:w="60" w:type="dxa"/>
              <w:left w:w="120" w:type="dxa"/>
              <w:bottom w:w="30" w:type="dxa"/>
              <w:right w:w="120" w:type="dxa"/>
            </w:tcMar>
          </w:tcPr>
          <w:p w14:paraId="336BD5DD">
            <w:pPr>
              <w:spacing w:before="120" w:after="120" w:line="288" w:lineRule="auto"/>
              <w:ind w:left="0"/>
              <w:jc w:val="left"/>
            </w:pPr>
            <w:r>
              <w:rPr>
                <w:rFonts w:ascii="Arial" w:hAnsi="Arial" w:eastAsia="等线" w:cs="Arial"/>
                <w:sz w:val="22"/>
              </w:rPr>
              <w:t>再生铝合金吊顶模块</w:t>
            </w:r>
          </w:p>
        </w:tc>
        <w:tc>
          <w:tcPr>
            <w:tcW w:w="1650" w:type="dxa"/>
            <w:tcMar>
              <w:top w:w="60" w:type="dxa"/>
              <w:left w:w="120" w:type="dxa"/>
              <w:bottom w:w="30" w:type="dxa"/>
              <w:right w:w="120" w:type="dxa"/>
            </w:tcMar>
          </w:tcPr>
          <w:p w14:paraId="50139133">
            <w:pPr>
              <w:spacing w:before="120" w:after="120" w:line="288" w:lineRule="auto"/>
              <w:ind w:left="0"/>
              <w:jc w:val="left"/>
            </w:pPr>
            <w:r>
              <w:rPr>
                <w:rFonts w:ascii="Arial" w:hAnsi="Arial" w:eastAsia="等线" w:cs="Arial"/>
                <w:sz w:val="22"/>
              </w:rPr>
              <w:t>1. 废弃铝合金回收证明（含回收单位资质、回收记录）；2. 再生铝合金掺量检测报告（第三方检测机构出具）；3. 生产厂家再生铝合金熔炼及加工记录；4. 吊顶模块耐腐蚀性检测报告。</w:t>
            </w:r>
          </w:p>
        </w:tc>
        <w:tc>
          <w:tcPr>
            <w:tcW w:w="1650" w:type="dxa"/>
            <w:tcMar>
              <w:top w:w="60" w:type="dxa"/>
              <w:left w:w="120" w:type="dxa"/>
              <w:bottom w:w="30" w:type="dxa"/>
              <w:right w:w="120" w:type="dxa"/>
            </w:tcMar>
          </w:tcPr>
          <w:p w14:paraId="1722EB21">
            <w:pPr>
              <w:spacing w:before="120" w:after="120" w:line="288" w:lineRule="auto"/>
              <w:ind w:left="0"/>
              <w:jc w:val="left"/>
            </w:pPr>
            <w:r>
              <w:rPr>
                <w:rFonts w:ascii="Arial" w:hAnsi="Arial" w:eastAsia="等线" w:cs="Arial"/>
                <w:sz w:val="22"/>
              </w:rPr>
              <w:t>证明材料需明确再生铝合金掺量，与利废材料检测报告中再生铝占比要求一致。</w:t>
            </w:r>
          </w:p>
        </w:tc>
        <w:tc>
          <w:tcPr>
            <w:tcW w:w="1650" w:type="dxa"/>
            <w:tcMar>
              <w:top w:w="60" w:type="dxa"/>
              <w:left w:w="120" w:type="dxa"/>
              <w:bottom w:w="30" w:type="dxa"/>
              <w:right w:w="120" w:type="dxa"/>
            </w:tcMar>
          </w:tcPr>
          <w:p w14:paraId="433330FC">
            <w:pPr>
              <w:spacing w:before="120" w:after="120" w:line="288" w:lineRule="auto"/>
              <w:ind w:left="0"/>
              <w:jc w:val="left"/>
            </w:pPr>
            <w:r>
              <w:rPr>
                <w:rFonts w:ascii="Arial" w:hAnsi="Arial" w:eastAsia="等线" w:cs="Arial"/>
                <w:sz w:val="22"/>
              </w:rPr>
              <w:t>匹配可再循环材料中铝合金100%可再循环的特性。</w:t>
            </w:r>
          </w:p>
        </w:tc>
      </w:tr>
      <w:tr w14:paraId="45F9A6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AFCE250">
            <w:pPr>
              <w:spacing w:before="120" w:after="120" w:line="288" w:lineRule="auto"/>
              <w:ind w:left="0"/>
              <w:jc w:val="left"/>
            </w:pPr>
            <w:r>
              <w:rPr>
                <w:rFonts w:ascii="Arial" w:hAnsi="Arial" w:eastAsia="等线" w:cs="Arial"/>
                <w:sz w:val="22"/>
              </w:rPr>
              <w:t>5</w:t>
            </w:r>
          </w:p>
        </w:tc>
        <w:tc>
          <w:tcPr>
            <w:tcW w:w="1650" w:type="dxa"/>
            <w:tcMar>
              <w:top w:w="60" w:type="dxa"/>
              <w:left w:w="120" w:type="dxa"/>
              <w:bottom w:w="30" w:type="dxa"/>
              <w:right w:w="120" w:type="dxa"/>
            </w:tcMar>
          </w:tcPr>
          <w:p w14:paraId="4294D1E0">
            <w:pPr>
              <w:spacing w:before="120" w:after="120" w:line="288" w:lineRule="auto"/>
              <w:ind w:left="0"/>
              <w:jc w:val="left"/>
            </w:pPr>
            <w:r>
              <w:rPr>
                <w:rFonts w:ascii="Arial" w:hAnsi="Arial" w:eastAsia="等线" w:cs="Arial"/>
                <w:sz w:val="22"/>
              </w:rPr>
              <w:t>再生木质复合墙板</w:t>
            </w:r>
          </w:p>
        </w:tc>
        <w:tc>
          <w:tcPr>
            <w:tcW w:w="1650" w:type="dxa"/>
            <w:tcMar>
              <w:top w:w="60" w:type="dxa"/>
              <w:left w:w="120" w:type="dxa"/>
              <w:bottom w:w="30" w:type="dxa"/>
              <w:right w:w="120" w:type="dxa"/>
            </w:tcMar>
          </w:tcPr>
          <w:p w14:paraId="4C74098F">
            <w:pPr>
              <w:spacing w:before="120" w:after="120" w:line="288" w:lineRule="auto"/>
              <w:ind w:left="0"/>
              <w:jc w:val="left"/>
            </w:pPr>
            <w:r>
              <w:rPr>
                <w:rFonts w:ascii="Arial" w:hAnsi="Arial" w:eastAsia="等线" w:cs="Arial"/>
                <w:sz w:val="22"/>
              </w:rPr>
              <w:t>1. 废弃木质材料回收证明（含回收单位资质、回收记录）；2. 再生木质纤维掺量检测报告（第三方检测机构出具）；3. 生产厂家再生木质纤维加工及配比记录；4. 墙板甲醛释放量、防火等级检测报告。</w:t>
            </w:r>
          </w:p>
        </w:tc>
        <w:tc>
          <w:tcPr>
            <w:tcW w:w="1650" w:type="dxa"/>
            <w:tcMar>
              <w:top w:w="60" w:type="dxa"/>
              <w:left w:w="120" w:type="dxa"/>
              <w:bottom w:w="30" w:type="dxa"/>
              <w:right w:w="120" w:type="dxa"/>
            </w:tcMar>
          </w:tcPr>
          <w:p w14:paraId="68661EC2">
            <w:pPr>
              <w:spacing w:before="120" w:after="120" w:line="288" w:lineRule="auto"/>
              <w:ind w:left="0"/>
              <w:jc w:val="left"/>
            </w:pPr>
            <w:r>
              <w:rPr>
                <w:rFonts w:ascii="Arial" w:hAnsi="Arial" w:eastAsia="等线" w:cs="Arial"/>
                <w:sz w:val="22"/>
              </w:rPr>
              <w:t>证明材料需明确再生木质纤维掺量，与利废材料检测报告中相关要求一致。</w:t>
            </w:r>
          </w:p>
        </w:tc>
        <w:tc>
          <w:tcPr>
            <w:tcW w:w="1650" w:type="dxa"/>
            <w:tcMar>
              <w:top w:w="60" w:type="dxa"/>
              <w:left w:w="120" w:type="dxa"/>
              <w:bottom w:w="30" w:type="dxa"/>
              <w:right w:w="120" w:type="dxa"/>
            </w:tcMar>
          </w:tcPr>
          <w:p w14:paraId="710CD197">
            <w:pPr>
              <w:spacing w:before="120" w:after="120" w:line="288" w:lineRule="auto"/>
              <w:ind w:left="0"/>
              <w:jc w:val="left"/>
            </w:pPr>
            <w:r>
              <w:rPr>
                <w:rFonts w:ascii="Arial" w:hAnsi="Arial" w:eastAsia="等线" w:cs="Arial"/>
                <w:sz w:val="22"/>
              </w:rPr>
              <w:t>衔接可再循环材料中墙板相关品类的再生成分核算。</w:t>
            </w:r>
          </w:p>
        </w:tc>
      </w:tr>
      <w:tr w14:paraId="3EA64C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A8F5655">
            <w:pPr>
              <w:spacing w:before="120" w:after="120" w:line="288" w:lineRule="auto"/>
              <w:ind w:left="0"/>
              <w:jc w:val="left"/>
            </w:pPr>
            <w:r>
              <w:rPr>
                <w:rFonts w:ascii="Arial" w:hAnsi="Arial" w:eastAsia="等线" w:cs="Arial"/>
                <w:sz w:val="22"/>
              </w:rPr>
              <w:t>6</w:t>
            </w:r>
          </w:p>
        </w:tc>
        <w:tc>
          <w:tcPr>
            <w:tcW w:w="1650" w:type="dxa"/>
            <w:tcMar>
              <w:top w:w="60" w:type="dxa"/>
              <w:left w:w="120" w:type="dxa"/>
              <w:bottom w:w="30" w:type="dxa"/>
              <w:right w:w="120" w:type="dxa"/>
            </w:tcMar>
          </w:tcPr>
          <w:p w14:paraId="07511314">
            <w:pPr>
              <w:spacing w:before="120" w:after="120" w:line="288" w:lineRule="auto"/>
              <w:ind w:left="0"/>
              <w:jc w:val="left"/>
            </w:pPr>
            <w:r>
              <w:rPr>
                <w:rFonts w:ascii="Arial" w:hAnsi="Arial" w:eastAsia="等线" w:cs="Arial"/>
                <w:sz w:val="22"/>
              </w:rPr>
              <w:t>再生塑料密封胶（耐候型）</w:t>
            </w:r>
          </w:p>
        </w:tc>
        <w:tc>
          <w:tcPr>
            <w:tcW w:w="1650" w:type="dxa"/>
            <w:tcMar>
              <w:top w:w="60" w:type="dxa"/>
              <w:left w:w="120" w:type="dxa"/>
              <w:bottom w:w="30" w:type="dxa"/>
              <w:right w:w="120" w:type="dxa"/>
            </w:tcMar>
          </w:tcPr>
          <w:p w14:paraId="58856131">
            <w:pPr>
              <w:spacing w:before="120" w:after="120" w:line="288" w:lineRule="auto"/>
              <w:ind w:left="0"/>
              <w:jc w:val="left"/>
            </w:pPr>
            <w:r>
              <w:rPr>
                <w:rFonts w:ascii="Arial" w:hAnsi="Arial" w:eastAsia="等线" w:cs="Arial"/>
                <w:sz w:val="22"/>
              </w:rPr>
              <w:t>1. 废弃树脂回收证明（含回收单位资质、回收记录）；2. 再生树脂掺量检测报告（第三方检测机构出具）；3. 生产厂家再生树脂加工及配比记录；4. 密封胶粘结强度、耐候性检测报告。</w:t>
            </w:r>
          </w:p>
        </w:tc>
        <w:tc>
          <w:tcPr>
            <w:tcW w:w="1650" w:type="dxa"/>
            <w:tcMar>
              <w:top w:w="60" w:type="dxa"/>
              <w:left w:w="120" w:type="dxa"/>
              <w:bottom w:w="30" w:type="dxa"/>
              <w:right w:w="120" w:type="dxa"/>
            </w:tcMar>
          </w:tcPr>
          <w:p w14:paraId="2C602D2C">
            <w:pPr>
              <w:spacing w:before="120" w:after="120" w:line="288" w:lineRule="auto"/>
              <w:ind w:left="0"/>
              <w:jc w:val="left"/>
            </w:pPr>
            <w:r>
              <w:rPr>
                <w:rFonts w:ascii="Arial" w:hAnsi="Arial" w:eastAsia="等线" w:cs="Arial"/>
                <w:sz w:val="22"/>
              </w:rPr>
              <w:t>证明材料需明确再生树脂掺量，与利废材料检测报告中相关要求一致。</w:t>
            </w:r>
          </w:p>
        </w:tc>
        <w:tc>
          <w:tcPr>
            <w:tcW w:w="1650" w:type="dxa"/>
            <w:tcMar>
              <w:top w:w="60" w:type="dxa"/>
              <w:left w:w="120" w:type="dxa"/>
              <w:bottom w:w="30" w:type="dxa"/>
              <w:right w:w="120" w:type="dxa"/>
            </w:tcMar>
          </w:tcPr>
          <w:p w14:paraId="31B267CD">
            <w:pPr>
              <w:spacing w:before="120" w:after="120" w:line="288" w:lineRule="auto"/>
              <w:ind w:left="0"/>
              <w:jc w:val="left"/>
            </w:pPr>
            <w:r>
              <w:rPr>
                <w:rFonts w:ascii="Arial" w:hAnsi="Arial" w:eastAsia="等线" w:cs="Arial"/>
                <w:sz w:val="22"/>
              </w:rPr>
              <w:t>按需衔接可再循环材料中辅助材料的再生成分核算。</w:t>
            </w:r>
          </w:p>
        </w:tc>
      </w:tr>
    </w:tbl>
    <w:p w14:paraId="5517D03B">
      <w:pPr>
        <w:spacing w:before="320" w:after="120" w:line="288" w:lineRule="auto"/>
        <w:ind w:left="0"/>
        <w:jc w:val="left"/>
        <w:outlineLvl w:val="1"/>
      </w:pPr>
      <w:bookmarkStart w:id="11" w:name="heading_11"/>
      <w:r>
        <w:rPr>
          <w:rFonts w:ascii="Arial" w:hAnsi="Arial" w:eastAsia="等线" w:cs="Arial"/>
          <w:b/>
          <w:sz w:val="32"/>
        </w:rPr>
        <w:t>4.2 证明材料通用要求</w:t>
      </w:r>
      <w:bookmarkEnd w:id="11"/>
    </w:p>
    <w:p w14:paraId="4B7CEFF3">
      <w:pPr>
        <w:numPr>
          <w:ilvl w:val="0"/>
          <w:numId w:val="34"/>
        </w:numPr>
        <w:spacing w:before="120" w:after="120" w:line="288" w:lineRule="auto"/>
        <w:ind w:left="0"/>
        <w:jc w:val="left"/>
      </w:pPr>
      <w:r>
        <w:rPr>
          <w:rFonts w:ascii="Arial" w:hAnsi="Arial" w:eastAsia="等线" w:cs="Arial"/>
          <w:sz w:val="22"/>
        </w:rPr>
        <w:t>所有证明材料需真实、有效、完整，不得伪造、篡改，复印件需注明“与原件一致”并加盖提供单位公章，确保可追溯。</w:t>
      </w:r>
    </w:p>
    <w:p w14:paraId="73FC428A">
      <w:pPr>
        <w:numPr>
          <w:ilvl w:val="0"/>
          <w:numId w:val="35"/>
        </w:numPr>
        <w:spacing w:before="120" w:after="120" w:line="288" w:lineRule="auto"/>
        <w:ind w:left="0"/>
        <w:jc w:val="left"/>
      </w:pPr>
      <w:r>
        <w:rPr>
          <w:rFonts w:ascii="Arial" w:hAnsi="Arial" w:eastAsia="等线" w:cs="Arial"/>
          <w:sz w:val="22"/>
        </w:rPr>
        <w:t>第三方检测机构出具的掺量检测报告，需具备法定检测资质，检测流程规范，检测数据与本项目利废材料检测报告、可再循环材料计算书相关数据保持一致。</w:t>
      </w:r>
    </w:p>
    <w:p w14:paraId="3212C049">
      <w:pPr>
        <w:numPr>
          <w:ilvl w:val="0"/>
          <w:numId w:val="36"/>
        </w:numPr>
        <w:spacing w:before="120" w:after="120" w:line="288" w:lineRule="auto"/>
        <w:ind w:left="0"/>
        <w:jc w:val="left"/>
      </w:pPr>
      <w:r>
        <w:rPr>
          <w:rFonts w:ascii="Arial" w:hAnsi="Arial" w:eastAsia="等线" w:cs="Arial"/>
          <w:sz w:val="22"/>
        </w:rPr>
        <w:t>回收证明需明确废弃材料的来源、回收时间、回收数量、处理方式，回收单位需具备相应的回收资质，确保废弃材料来源合规。</w:t>
      </w:r>
    </w:p>
    <w:p w14:paraId="12B2B86F">
      <w:pPr>
        <w:numPr>
          <w:ilvl w:val="0"/>
          <w:numId w:val="37"/>
        </w:numPr>
        <w:spacing w:before="120" w:after="120" w:line="288" w:lineRule="auto"/>
        <w:ind w:left="0"/>
        <w:jc w:val="left"/>
      </w:pPr>
      <w:r>
        <w:rPr>
          <w:rFonts w:ascii="Arial" w:hAnsi="Arial" w:eastAsia="等线" w:cs="Arial"/>
          <w:sz w:val="22"/>
        </w:rPr>
        <w:t>生产厂家提供的配比记录、加工记录，需详细注明再生原料的用量、比例、加工工艺，确保与废弃物掺量核算结果一致，可作为掺量核算的辅助依据。</w:t>
      </w:r>
    </w:p>
    <w:p w14:paraId="6168070D">
      <w:pPr>
        <w:numPr>
          <w:ilvl w:val="0"/>
          <w:numId w:val="38"/>
        </w:numPr>
        <w:spacing w:before="120" w:after="120" w:line="288" w:lineRule="auto"/>
        <w:ind w:left="0"/>
        <w:jc w:val="left"/>
      </w:pPr>
      <w:r>
        <w:rPr>
          <w:rFonts w:ascii="Arial" w:hAnsi="Arial" w:eastAsia="等线" w:cs="Arial"/>
          <w:sz w:val="22"/>
        </w:rPr>
        <w:t>所有证明材料需按材料品类分类整理，与利废材料检测报告、可再循环材料和可再利用材料用量计算书同步归档，便于工程验收及绿色建筑评价查阅。</w:t>
      </w:r>
    </w:p>
    <w:p w14:paraId="514F5269">
      <w:pPr>
        <w:spacing w:before="380" w:after="140" w:line="288" w:lineRule="auto"/>
        <w:ind w:left="0"/>
        <w:jc w:val="left"/>
        <w:outlineLvl w:val="0"/>
      </w:pPr>
      <w:bookmarkStart w:id="12" w:name="heading_12"/>
      <w:r>
        <w:rPr>
          <w:rFonts w:ascii="Arial" w:hAnsi="Arial" w:eastAsia="等线" w:cs="Arial"/>
          <w:b/>
          <w:sz w:val="36"/>
        </w:rPr>
        <w:t>五、责任说明</w:t>
      </w:r>
      <w:bookmarkEnd w:id="12"/>
    </w:p>
    <w:p w14:paraId="61DD6348">
      <w:pPr>
        <w:numPr>
          <w:ilvl w:val="0"/>
          <w:numId w:val="39"/>
        </w:numPr>
        <w:spacing w:before="120" w:after="120" w:line="288" w:lineRule="auto"/>
        <w:ind w:left="0"/>
        <w:jc w:val="left"/>
      </w:pPr>
      <w:r>
        <w:rPr>
          <w:rFonts w:ascii="Arial" w:hAnsi="Arial" w:eastAsia="等线" w:cs="Arial"/>
          <w:sz w:val="22"/>
        </w:rPr>
        <w:t>施工单位对利废建材废弃物掺量的真实性、合规性负责，确保进场利废材料的废弃物掺量与本说明及证明材料一致，与利废材料检测报告、可再循环材料计算书数据统一，严禁使用掺量不达标或无有效证明材料的利废材料。</w:t>
      </w:r>
    </w:p>
    <w:p w14:paraId="570A7274">
      <w:pPr>
        <w:numPr>
          <w:ilvl w:val="0"/>
          <w:numId w:val="40"/>
        </w:numPr>
        <w:spacing w:before="120" w:after="120" w:line="288" w:lineRule="auto"/>
        <w:ind w:left="0"/>
        <w:jc w:val="left"/>
      </w:pPr>
      <w:r>
        <w:rPr>
          <w:rFonts w:ascii="Arial" w:hAnsi="Arial" w:eastAsia="等线" w:cs="Arial"/>
          <w:sz w:val="22"/>
        </w:rPr>
        <w:t>监理单位负责对利废建材废弃物掺量及证明材料进行审核、见证，严格核查进场材料的掺量证明，确保材料符合标准及项目设计要求，同步衔接可再循环材料用量核算相关要求。</w:t>
      </w:r>
    </w:p>
    <w:p w14:paraId="6941F9E2">
      <w:pPr>
        <w:numPr>
          <w:ilvl w:val="0"/>
          <w:numId w:val="41"/>
        </w:numPr>
        <w:spacing w:before="120" w:after="120" w:line="288" w:lineRule="auto"/>
        <w:ind w:left="0"/>
        <w:jc w:val="left"/>
      </w:pPr>
      <w:r>
        <w:rPr>
          <w:rFonts w:ascii="Arial" w:hAnsi="Arial" w:eastAsia="等线" w:cs="Arial"/>
          <w:sz w:val="22"/>
        </w:rPr>
        <w:t>生产厂家需如实提供利废材料废弃物掺量相关证明材料及配比记录，对材料掺量的真实性负责，配合施工单位、监理单位及检测单位的核查工作。</w:t>
      </w:r>
    </w:p>
    <w:p w14:paraId="4A62BB37">
      <w:pPr>
        <w:numPr>
          <w:ilvl w:val="0"/>
          <w:numId w:val="42"/>
        </w:numPr>
        <w:spacing w:before="120" w:after="120" w:line="288" w:lineRule="auto"/>
        <w:ind w:left="0"/>
        <w:jc w:val="left"/>
      </w:pPr>
      <w:r>
        <w:rPr>
          <w:rFonts w:ascii="Arial" w:hAnsi="Arial" w:eastAsia="等线" w:cs="Arial"/>
          <w:sz w:val="22"/>
        </w:rPr>
        <w:t>检测单位需严格按照相关标准及规范，对利废建材废弃物掺量进行检测，确保检测数据真实、准确，检测结果与本说明及证明材料保持一致，为绿色建筑评价提供可靠依据。</w:t>
      </w:r>
    </w:p>
    <w:p w14:paraId="090EA948">
      <w:pPr>
        <w:spacing w:before="380" w:after="140" w:line="288" w:lineRule="auto"/>
        <w:ind w:left="0"/>
        <w:jc w:val="left"/>
        <w:outlineLvl w:val="0"/>
      </w:pPr>
      <w:bookmarkStart w:id="13" w:name="heading_13"/>
      <w:r>
        <w:rPr>
          <w:rFonts w:ascii="Arial" w:hAnsi="Arial" w:eastAsia="等线" w:cs="Arial"/>
          <w:b/>
          <w:sz w:val="36"/>
        </w:rPr>
        <w:t>六、归档要求</w:t>
      </w:r>
      <w:bookmarkEnd w:id="13"/>
    </w:p>
    <w:p w14:paraId="1CFEE036">
      <w:pPr>
        <w:spacing w:before="120" w:after="120" w:line="288" w:lineRule="auto"/>
        <w:ind w:left="0"/>
        <w:jc w:val="left"/>
      </w:pPr>
      <w:r>
        <w:rPr>
          <w:rFonts w:ascii="Arial" w:hAnsi="Arial" w:eastAsia="等线" w:cs="Arial"/>
          <w:sz w:val="22"/>
        </w:rPr>
        <w:t>本文件及相关证明材料一式四份，施工单位、监理单位、检测单位、建设单位各留存一份，与本项目利废材料产品检测报告、可再循环材料和可再利用材料用量计算书、深化设计图等文件同步归档，作为工程质量验收、绿色建筑评价及材料溯源的核心资料，归档期限符合工程档案管理相关规定。</w:t>
      </w:r>
    </w:p>
    <w:p w14:paraId="4CFA14FE">
      <w:pPr>
        <w:spacing w:before="380" w:after="140" w:line="288" w:lineRule="auto"/>
        <w:ind w:left="0"/>
        <w:jc w:val="left"/>
        <w:outlineLvl w:val="0"/>
      </w:pPr>
      <w:bookmarkStart w:id="14" w:name="heading_14"/>
      <w:r>
        <w:rPr>
          <w:rFonts w:ascii="Arial" w:hAnsi="Arial" w:eastAsia="等线" w:cs="Arial"/>
          <w:b/>
          <w:sz w:val="36"/>
        </w:rPr>
        <w:t>七、备注</w:t>
      </w:r>
      <w:bookmarkEnd w:id="14"/>
    </w:p>
    <w:p w14:paraId="16BEC0E5">
      <w:pPr>
        <w:numPr>
          <w:ilvl w:val="0"/>
          <w:numId w:val="43"/>
        </w:numPr>
        <w:spacing w:before="120" w:after="120" w:line="288" w:lineRule="auto"/>
        <w:ind w:left="0"/>
        <w:jc w:val="left"/>
      </w:pPr>
      <w:r>
        <w:rPr>
          <w:rFonts w:ascii="Arial" w:hAnsi="Arial" w:eastAsia="等线" w:cs="Arial"/>
          <w:sz w:val="22"/>
        </w:rPr>
        <w:t>本文件中废弃物掺量标准，严格匹配本项目利废材料产品检测报告中规格型号要求及可再循环材料用量计算书中的再生成分核算比例，若相关标准或设计要求调整，需同步更新本文件及证明材料。</w:t>
      </w:r>
    </w:p>
    <w:p w14:paraId="36E0CDC7">
      <w:pPr>
        <w:numPr>
          <w:ilvl w:val="0"/>
          <w:numId w:val="44"/>
        </w:numPr>
        <w:spacing w:before="120" w:after="120" w:line="288" w:lineRule="auto"/>
        <w:ind w:left="0"/>
        <w:jc w:val="left"/>
      </w:pPr>
      <w:r>
        <w:rPr>
          <w:rFonts w:ascii="Arial" w:hAnsi="Arial" w:eastAsia="等线" w:cs="Arial"/>
          <w:sz w:val="22"/>
        </w:rPr>
        <w:t>利废建材废弃物掺量核算过程中，若发现掺量不达标，需立即停止使用该类材料，更换合格材料后重新核算掺量、补充证明材料，并重新见证取样送检，确保符合绿色建筑相关要求。</w:t>
      </w:r>
    </w:p>
    <w:p w14:paraId="2BE1C2FF">
      <w:pPr>
        <w:numPr>
          <w:ilvl w:val="0"/>
          <w:numId w:val="45"/>
        </w:numPr>
        <w:spacing w:before="120" w:after="120" w:line="288" w:lineRule="auto"/>
        <w:ind w:left="0"/>
        <w:jc w:val="left"/>
      </w:pPr>
      <w:r>
        <w:rPr>
          <w:rFonts w:ascii="Arial" w:hAnsi="Arial" w:eastAsia="等线" w:cs="Arial"/>
          <w:sz w:val="22"/>
        </w:rPr>
        <w:t>本文件未尽事宜，参照国家现行相关法律法规、标准规范、项目合同约定及本项目利废材料检测报告、可再循环材料和可再利用材料用量计算书相关要求执行。</w:t>
      </w:r>
    </w:p>
    <w:p w14:paraId="20A414BA">
      <w:pPr>
        <w:spacing w:before="380" w:after="140" w:line="288" w:lineRule="auto"/>
        <w:ind w:left="0"/>
        <w:jc w:val="left"/>
        <w:outlineLvl w:val="0"/>
      </w:pPr>
      <w:bookmarkStart w:id="15" w:name="heading_15"/>
      <w:r>
        <w:rPr>
          <w:rFonts w:ascii="Arial" w:hAnsi="Arial" w:eastAsia="等线" w:cs="Arial"/>
          <w:b/>
          <w:sz w:val="36"/>
        </w:rPr>
        <w:t>八、相关单位确认</w:t>
      </w:r>
      <w:bookmarkEnd w:id="15"/>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845"/>
        <w:gridCol w:w="4605"/>
        <w:gridCol w:w="1845"/>
      </w:tblGrid>
      <w:tr w14:paraId="1FDCE3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7686040E">
            <w:pPr>
              <w:spacing w:before="120" w:after="120" w:line="288" w:lineRule="auto"/>
              <w:ind w:left="0"/>
              <w:jc w:val="left"/>
            </w:pPr>
            <w:r>
              <w:rPr>
                <w:rFonts w:ascii="Arial" w:hAnsi="Arial" w:eastAsia="等线" w:cs="Arial"/>
                <w:sz w:val="22"/>
              </w:rPr>
              <w:t>施工单位确认</w:t>
            </w:r>
          </w:p>
        </w:tc>
        <w:tc>
          <w:tcPr>
            <w:tcW w:w="4605" w:type="dxa"/>
            <w:tcMar>
              <w:top w:w="60" w:type="dxa"/>
              <w:left w:w="120" w:type="dxa"/>
              <w:bottom w:w="30" w:type="dxa"/>
              <w:right w:w="120" w:type="dxa"/>
            </w:tcMar>
          </w:tcPr>
          <w:p w14:paraId="3C4EC489">
            <w:pPr>
              <w:spacing w:before="120" w:after="120" w:line="288" w:lineRule="auto"/>
              <w:ind w:left="0"/>
              <w:jc w:val="left"/>
            </w:pPr>
            <w:r>
              <w:rPr>
                <w:rFonts w:ascii="Arial" w:hAnsi="Arial" w:eastAsia="等线" w:cs="Arial"/>
                <w:sz w:val="22"/>
              </w:rPr>
              <w:t>已核实本文件中各类利废建材废弃物掺量说明，承诺进场材料掺量符合要求，相关证明材料真实、有效、完整，与利废材料检测报告、可再循环材料计算书数据一致。</w:t>
            </w:r>
          </w:p>
        </w:tc>
        <w:tc>
          <w:tcPr>
            <w:tcW w:w="1845" w:type="dxa"/>
            <w:tcMar>
              <w:top w:w="60" w:type="dxa"/>
              <w:left w:w="120" w:type="dxa"/>
              <w:bottom w:w="30" w:type="dxa"/>
              <w:right w:w="120" w:type="dxa"/>
            </w:tcMar>
          </w:tcPr>
          <w:p w14:paraId="1B15969E">
            <w:pPr>
              <w:spacing w:before="120" w:after="120" w:line="288" w:lineRule="auto"/>
              <w:ind w:left="0"/>
              <w:jc w:val="left"/>
            </w:pPr>
            <w:r>
              <w:rPr>
                <w:rFonts w:ascii="Arial" w:hAnsi="Arial" w:eastAsia="等线" w:cs="Arial"/>
                <w:sz w:val="22"/>
              </w:rPr>
              <w:t>签字（盖章）：日期：______年______月______日</w:t>
            </w:r>
          </w:p>
        </w:tc>
      </w:tr>
      <w:tr w14:paraId="6E6D10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154F52AB">
            <w:pPr>
              <w:spacing w:before="120" w:after="120" w:line="288" w:lineRule="auto"/>
              <w:ind w:left="0"/>
              <w:jc w:val="left"/>
            </w:pPr>
            <w:r>
              <w:rPr>
                <w:rFonts w:ascii="Arial" w:hAnsi="Arial" w:eastAsia="等线" w:cs="Arial"/>
                <w:sz w:val="22"/>
              </w:rPr>
              <w:t>监理单位确认</w:t>
            </w:r>
          </w:p>
        </w:tc>
        <w:tc>
          <w:tcPr>
            <w:tcW w:w="4605" w:type="dxa"/>
            <w:tcMar>
              <w:top w:w="60" w:type="dxa"/>
              <w:left w:w="120" w:type="dxa"/>
              <w:bottom w:w="30" w:type="dxa"/>
              <w:right w:w="120" w:type="dxa"/>
            </w:tcMar>
          </w:tcPr>
          <w:p w14:paraId="1859FDC7">
            <w:pPr>
              <w:spacing w:before="120" w:after="120" w:line="288" w:lineRule="auto"/>
              <w:ind w:left="0"/>
              <w:jc w:val="left"/>
            </w:pPr>
            <w:r>
              <w:rPr>
                <w:rFonts w:ascii="Arial" w:hAnsi="Arial" w:eastAsia="等线" w:cs="Arial"/>
                <w:sz w:val="22"/>
              </w:rPr>
              <w:t>已审核本文件及相关证明材料，确认利废建材废弃物掺量说明合规、证明材料齐全，与利废材料检测报告、可再循环材料计算书逻辑一致，可作为验收依据。</w:t>
            </w:r>
          </w:p>
        </w:tc>
        <w:tc>
          <w:tcPr>
            <w:tcW w:w="1845" w:type="dxa"/>
            <w:tcMar>
              <w:top w:w="60" w:type="dxa"/>
              <w:left w:w="120" w:type="dxa"/>
              <w:bottom w:w="30" w:type="dxa"/>
              <w:right w:w="120" w:type="dxa"/>
            </w:tcMar>
          </w:tcPr>
          <w:p w14:paraId="224C3CCD">
            <w:pPr>
              <w:spacing w:before="120" w:after="120" w:line="288" w:lineRule="auto"/>
              <w:ind w:left="0"/>
              <w:jc w:val="left"/>
            </w:pPr>
            <w:r>
              <w:rPr>
                <w:rFonts w:ascii="Arial" w:hAnsi="Arial" w:eastAsia="等线" w:cs="Arial"/>
                <w:sz w:val="22"/>
              </w:rPr>
              <w:t>签字（盖章）：日期：______年______月______日</w:t>
            </w:r>
          </w:p>
        </w:tc>
      </w:tr>
      <w:tr w14:paraId="59347F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4B48C275">
            <w:pPr>
              <w:spacing w:before="120" w:after="120" w:line="288" w:lineRule="auto"/>
              <w:ind w:left="0"/>
              <w:jc w:val="left"/>
            </w:pPr>
            <w:r>
              <w:rPr>
                <w:rFonts w:ascii="Arial" w:hAnsi="Arial" w:eastAsia="等线" w:cs="Arial"/>
                <w:sz w:val="22"/>
              </w:rPr>
              <w:t>检测单位确认</w:t>
            </w:r>
          </w:p>
        </w:tc>
        <w:tc>
          <w:tcPr>
            <w:tcW w:w="4605" w:type="dxa"/>
            <w:tcMar>
              <w:top w:w="60" w:type="dxa"/>
              <w:left w:w="120" w:type="dxa"/>
              <w:bottom w:w="30" w:type="dxa"/>
              <w:right w:w="120" w:type="dxa"/>
            </w:tcMar>
          </w:tcPr>
          <w:p w14:paraId="57607595">
            <w:pPr>
              <w:spacing w:before="120" w:after="120" w:line="288" w:lineRule="auto"/>
              <w:ind w:left="0"/>
              <w:jc w:val="left"/>
            </w:pPr>
            <w:r>
              <w:rPr>
                <w:rFonts w:ascii="Arial" w:hAnsi="Arial" w:eastAsia="等线" w:cs="Arial"/>
                <w:sz w:val="22"/>
              </w:rPr>
              <w:t>已核实本文件中废弃物掺量核算方法及标准，确认与利废材料检测报告中掺量检测要求一致，检测数据可支撑本文件说明。</w:t>
            </w:r>
          </w:p>
        </w:tc>
        <w:tc>
          <w:tcPr>
            <w:tcW w:w="1845" w:type="dxa"/>
            <w:tcMar>
              <w:top w:w="60" w:type="dxa"/>
              <w:left w:w="120" w:type="dxa"/>
              <w:bottom w:w="30" w:type="dxa"/>
              <w:right w:w="120" w:type="dxa"/>
            </w:tcMar>
          </w:tcPr>
          <w:p w14:paraId="03979932">
            <w:pPr>
              <w:spacing w:before="120" w:after="120" w:line="288" w:lineRule="auto"/>
              <w:ind w:left="0"/>
              <w:jc w:val="left"/>
            </w:pPr>
            <w:r>
              <w:rPr>
                <w:rFonts w:ascii="Arial" w:hAnsi="Arial" w:eastAsia="等线" w:cs="Arial"/>
                <w:sz w:val="22"/>
              </w:rPr>
              <w:t>签字（盖章）：日期：______年______月______日</w:t>
            </w:r>
          </w:p>
        </w:tc>
      </w:tr>
      <w:tr w14:paraId="33F57A1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18241502">
            <w:pPr>
              <w:spacing w:before="120" w:after="120" w:line="288" w:lineRule="auto"/>
              <w:ind w:left="0"/>
              <w:jc w:val="left"/>
            </w:pPr>
            <w:r>
              <w:rPr>
                <w:rFonts w:ascii="Arial" w:hAnsi="Arial" w:eastAsia="等线" w:cs="Arial"/>
                <w:sz w:val="22"/>
              </w:rPr>
              <w:t>设计单位确认</w:t>
            </w:r>
          </w:p>
        </w:tc>
        <w:tc>
          <w:tcPr>
            <w:tcW w:w="4605" w:type="dxa"/>
            <w:tcMar>
              <w:top w:w="60" w:type="dxa"/>
              <w:left w:w="120" w:type="dxa"/>
              <w:bottom w:w="30" w:type="dxa"/>
              <w:right w:w="120" w:type="dxa"/>
            </w:tcMar>
          </w:tcPr>
          <w:p w14:paraId="012EC1DA">
            <w:pPr>
              <w:spacing w:before="120" w:after="120" w:line="288" w:lineRule="auto"/>
              <w:ind w:left="0"/>
              <w:jc w:val="left"/>
            </w:pPr>
            <w:r>
              <w:rPr>
                <w:rFonts w:ascii="Arial" w:hAnsi="Arial" w:eastAsia="等线" w:cs="Arial"/>
                <w:sz w:val="22"/>
              </w:rPr>
              <w:t>已确认本文件中利废建材废弃物掺量符合项目设计要求及绿色建筑定位，与可再循环材料、可再利用材料用量核算要求匹配。</w:t>
            </w:r>
          </w:p>
        </w:tc>
        <w:tc>
          <w:tcPr>
            <w:tcW w:w="1845" w:type="dxa"/>
            <w:tcMar>
              <w:top w:w="60" w:type="dxa"/>
              <w:left w:w="120" w:type="dxa"/>
              <w:bottom w:w="30" w:type="dxa"/>
              <w:right w:w="120" w:type="dxa"/>
            </w:tcMar>
          </w:tcPr>
          <w:p w14:paraId="1D3948DF">
            <w:pPr>
              <w:spacing w:before="120" w:after="120" w:line="288" w:lineRule="auto"/>
              <w:ind w:left="0"/>
              <w:jc w:val="left"/>
            </w:pPr>
            <w:r>
              <w:rPr>
                <w:rFonts w:ascii="Arial" w:hAnsi="Arial" w:eastAsia="等线" w:cs="Arial"/>
                <w:sz w:val="22"/>
              </w:rPr>
              <w:t>签字（盖章）：日期：______年______月______日</w:t>
            </w:r>
          </w:p>
        </w:tc>
      </w:tr>
    </w:tbl>
    <w:p w14:paraId="219D1FFA">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AB29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82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91995D4F"/>
    <w:multiLevelType w:val="singleLevel"/>
    <w:tmpl w:val="91995D4F"/>
    <w:lvl w:ilvl="0" w:tentative="0">
      <w:start w:val="0"/>
      <w:numFmt w:val="bullet"/>
      <w:lvlText w:val="•"/>
      <w:lvlJc w:val="left"/>
      <w:rPr>
        <w:color w:val="3370FF"/>
      </w:rPr>
    </w:lvl>
  </w:abstractNum>
  <w:abstractNum w:abstractNumId="4">
    <w:nsid w:val="9239341B"/>
    <w:multiLevelType w:val="singleLevel"/>
    <w:tmpl w:val="9239341B"/>
    <w:lvl w:ilvl="0" w:tentative="0">
      <w:start w:val="0"/>
      <w:numFmt w:val="bullet"/>
      <w:lvlText w:val="•"/>
      <w:lvlJc w:val="left"/>
      <w:rPr>
        <w:color w:val="3370FF"/>
      </w:rPr>
    </w:lvl>
  </w:abstractNum>
  <w:abstractNum w:abstractNumId="5">
    <w:nsid w:val="9288B902"/>
    <w:multiLevelType w:val="singleLevel"/>
    <w:tmpl w:val="9288B902"/>
    <w:lvl w:ilvl="0" w:tentative="0">
      <w:start w:val="0"/>
      <w:numFmt w:val="bullet"/>
      <w:lvlText w:val="•"/>
      <w:lvlJc w:val="left"/>
      <w:rPr>
        <w:color w:val="3370FF"/>
      </w:rPr>
    </w:lvl>
  </w:abstractNum>
  <w:abstractNum w:abstractNumId="6">
    <w:nsid w:val="9C8AC8EF"/>
    <w:multiLevelType w:val="singleLevel"/>
    <w:tmpl w:val="9C8AC8EF"/>
    <w:lvl w:ilvl="0" w:tentative="0">
      <w:start w:val="0"/>
      <w:numFmt w:val="bullet"/>
      <w:lvlText w:val="•"/>
      <w:lvlJc w:val="left"/>
      <w:rPr>
        <w:color w:val="3370FF"/>
      </w:rPr>
    </w:lvl>
  </w:abstractNum>
  <w:abstractNum w:abstractNumId="7">
    <w:nsid w:val="B0F1ACD9"/>
    <w:multiLevelType w:val="singleLevel"/>
    <w:tmpl w:val="B0F1ACD9"/>
    <w:lvl w:ilvl="0" w:tentative="0">
      <w:start w:val="0"/>
      <w:numFmt w:val="bullet"/>
      <w:lvlText w:val="•"/>
      <w:lvlJc w:val="left"/>
      <w:rPr>
        <w:color w:val="3370FF"/>
      </w:rPr>
    </w:lvl>
  </w:abstractNum>
  <w:abstractNum w:abstractNumId="8">
    <w:nsid w:val="B5E306ED"/>
    <w:multiLevelType w:val="singleLevel"/>
    <w:tmpl w:val="B5E306ED"/>
    <w:lvl w:ilvl="0" w:tentative="0">
      <w:start w:val="0"/>
      <w:numFmt w:val="bullet"/>
      <w:lvlText w:val="•"/>
      <w:lvlJc w:val="left"/>
      <w:rPr>
        <w:color w:val="3370FF"/>
      </w:rPr>
    </w:lvl>
  </w:abstractNum>
  <w:abstractNum w:abstractNumId="9">
    <w:nsid w:val="B8CEF35B"/>
    <w:multiLevelType w:val="singleLevel"/>
    <w:tmpl w:val="B8CEF35B"/>
    <w:lvl w:ilvl="0" w:tentative="0">
      <w:start w:val="0"/>
      <w:numFmt w:val="bullet"/>
      <w:lvlText w:val="•"/>
      <w:lvlJc w:val="left"/>
      <w:rPr>
        <w:color w:val="3370FF"/>
      </w:rPr>
    </w:lvl>
  </w:abstractNum>
  <w:abstractNum w:abstractNumId="10">
    <w:nsid w:val="BB64CFA9"/>
    <w:multiLevelType w:val="singleLevel"/>
    <w:tmpl w:val="BB64CFA9"/>
    <w:lvl w:ilvl="0" w:tentative="0">
      <w:start w:val="0"/>
      <w:numFmt w:val="bullet"/>
      <w:lvlText w:val="•"/>
      <w:lvlJc w:val="left"/>
      <w:rPr>
        <w:color w:val="3370FF"/>
      </w:rPr>
    </w:lvl>
  </w:abstractNum>
  <w:abstractNum w:abstractNumId="11">
    <w:nsid w:val="BE923771"/>
    <w:multiLevelType w:val="singleLevel"/>
    <w:tmpl w:val="BE923771"/>
    <w:lvl w:ilvl="0" w:tentative="0">
      <w:start w:val="0"/>
      <w:numFmt w:val="bullet"/>
      <w:lvlText w:val="•"/>
      <w:lvlJc w:val="left"/>
      <w:rPr>
        <w:color w:val="3370FF"/>
      </w:rPr>
    </w:lvl>
  </w:abstractNum>
  <w:abstractNum w:abstractNumId="12">
    <w:nsid w:val="BF205925"/>
    <w:multiLevelType w:val="singleLevel"/>
    <w:tmpl w:val="BF205925"/>
    <w:lvl w:ilvl="0" w:tentative="0">
      <w:start w:val="0"/>
      <w:numFmt w:val="bullet"/>
      <w:lvlText w:val="•"/>
      <w:lvlJc w:val="left"/>
      <w:rPr>
        <w:color w:val="3370FF"/>
      </w:rPr>
    </w:lvl>
  </w:abstractNum>
  <w:abstractNum w:abstractNumId="13">
    <w:nsid w:val="C8879AEF"/>
    <w:multiLevelType w:val="singleLevel"/>
    <w:tmpl w:val="C8879AEF"/>
    <w:lvl w:ilvl="0" w:tentative="0">
      <w:start w:val="0"/>
      <w:numFmt w:val="bullet"/>
      <w:lvlText w:val="•"/>
      <w:lvlJc w:val="left"/>
      <w:rPr>
        <w:color w:val="3370FF"/>
      </w:rPr>
    </w:lvl>
  </w:abstractNum>
  <w:abstractNum w:abstractNumId="14">
    <w:nsid w:val="CF092B84"/>
    <w:multiLevelType w:val="singleLevel"/>
    <w:tmpl w:val="CF092B84"/>
    <w:lvl w:ilvl="0" w:tentative="0">
      <w:start w:val="0"/>
      <w:numFmt w:val="bullet"/>
      <w:lvlText w:val="•"/>
      <w:lvlJc w:val="left"/>
      <w:rPr>
        <w:color w:val="3370FF"/>
      </w:rPr>
    </w:lvl>
  </w:abstractNum>
  <w:abstractNum w:abstractNumId="15">
    <w:nsid w:val="D7F9FE59"/>
    <w:multiLevelType w:val="singleLevel"/>
    <w:tmpl w:val="D7F9FE59"/>
    <w:lvl w:ilvl="0" w:tentative="0">
      <w:start w:val="0"/>
      <w:numFmt w:val="bullet"/>
      <w:lvlText w:val="•"/>
      <w:lvlJc w:val="left"/>
      <w:rPr>
        <w:color w:val="3370FF"/>
      </w:rPr>
    </w:lvl>
  </w:abstractNum>
  <w:abstractNum w:abstractNumId="16">
    <w:nsid w:val="DCBA6B53"/>
    <w:multiLevelType w:val="singleLevel"/>
    <w:tmpl w:val="DCBA6B53"/>
    <w:lvl w:ilvl="0" w:tentative="0">
      <w:start w:val="0"/>
      <w:numFmt w:val="bullet"/>
      <w:lvlText w:val="•"/>
      <w:lvlJc w:val="left"/>
      <w:rPr>
        <w:color w:val="3370FF"/>
      </w:rPr>
    </w:lvl>
  </w:abstractNum>
  <w:abstractNum w:abstractNumId="17">
    <w:nsid w:val="E093A4B0"/>
    <w:multiLevelType w:val="singleLevel"/>
    <w:tmpl w:val="E093A4B0"/>
    <w:lvl w:ilvl="0" w:tentative="0">
      <w:start w:val="0"/>
      <w:numFmt w:val="bullet"/>
      <w:lvlText w:val="•"/>
      <w:lvlJc w:val="left"/>
      <w:rPr>
        <w:color w:val="3370FF"/>
      </w:rPr>
    </w:lvl>
  </w:abstractNum>
  <w:abstractNum w:abstractNumId="18">
    <w:nsid w:val="F4B5D9F5"/>
    <w:multiLevelType w:val="singleLevel"/>
    <w:tmpl w:val="F4B5D9F5"/>
    <w:lvl w:ilvl="0" w:tentative="0">
      <w:start w:val="0"/>
      <w:numFmt w:val="bullet"/>
      <w:lvlText w:val="•"/>
      <w:lvlJc w:val="left"/>
      <w:rPr>
        <w:color w:val="3370FF"/>
      </w:rPr>
    </w:lvl>
  </w:abstractNum>
  <w:abstractNum w:abstractNumId="19">
    <w:nsid w:val="F7735DC9"/>
    <w:multiLevelType w:val="singleLevel"/>
    <w:tmpl w:val="F7735DC9"/>
    <w:lvl w:ilvl="0" w:tentative="0">
      <w:start w:val="0"/>
      <w:numFmt w:val="bullet"/>
      <w:lvlText w:val="•"/>
      <w:lvlJc w:val="left"/>
      <w:rPr>
        <w:color w:val="3370FF"/>
      </w:rPr>
    </w:lvl>
  </w:abstractNum>
  <w:abstractNum w:abstractNumId="20">
    <w:nsid w:val="0053208E"/>
    <w:multiLevelType w:val="singleLevel"/>
    <w:tmpl w:val="0053208E"/>
    <w:lvl w:ilvl="0" w:tentative="0">
      <w:start w:val="0"/>
      <w:numFmt w:val="bullet"/>
      <w:lvlText w:val="•"/>
      <w:lvlJc w:val="left"/>
      <w:rPr>
        <w:color w:val="3370FF"/>
      </w:rPr>
    </w:lvl>
  </w:abstractNum>
  <w:abstractNum w:abstractNumId="21">
    <w:nsid w:val="0248C179"/>
    <w:multiLevelType w:val="singleLevel"/>
    <w:tmpl w:val="0248C179"/>
    <w:lvl w:ilvl="0" w:tentative="0">
      <w:start w:val="0"/>
      <w:numFmt w:val="bullet"/>
      <w:lvlText w:val="•"/>
      <w:lvlJc w:val="left"/>
      <w:rPr>
        <w:color w:val="3370FF"/>
      </w:rPr>
    </w:lvl>
  </w:abstractNum>
  <w:abstractNum w:abstractNumId="22">
    <w:nsid w:val="03D62ECE"/>
    <w:multiLevelType w:val="singleLevel"/>
    <w:tmpl w:val="03D62ECE"/>
    <w:lvl w:ilvl="0" w:tentative="0">
      <w:start w:val="0"/>
      <w:numFmt w:val="bullet"/>
      <w:lvlText w:val="•"/>
      <w:lvlJc w:val="left"/>
      <w:rPr>
        <w:color w:val="3370FF"/>
      </w:rPr>
    </w:lvl>
  </w:abstractNum>
  <w:abstractNum w:abstractNumId="23">
    <w:nsid w:val="0E640482"/>
    <w:multiLevelType w:val="singleLevel"/>
    <w:tmpl w:val="0E640482"/>
    <w:lvl w:ilvl="0" w:tentative="0">
      <w:start w:val="0"/>
      <w:numFmt w:val="bullet"/>
      <w:lvlText w:val="•"/>
      <w:lvlJc w:val="left"/>
      <w:rPr>
        <w:color w:val="3370FF"/>
      </w:rPr>
    </w:lvl>
  </w:abstractNum>
  <w:abstractNum w:abstractNumId="24">
    <w:nsid w:val="243FCF68"/>
    <w:multiLevelType w:val="singleLevel"/>
    <w:tmpl w:val="243FCF68"/>
    <w:lvl w:ilvl="0" w:tentative="0">
      <w:start w:val="0"/>
      <w:numFmt w:val="bullet"/>
      <w:lvlText w:val="•"/>
      <w:lvlJc w:val="left"/>
      <w:rPr>
        <w:color w:val="3370FF"/>
      </w:rPr>
    </w:lvl>
  </w:abstractNum>
  <w:abstractNum w:abstractNumId="25">
    <w:nsid w:val="2470EC97"/>
    <w:multiLevelType w:val="singleLevel"/>
    <w:tmpl w:val="2470EC97"/>
    <w:lvl w:ilvl="0" w:tentative="0">
      <w:start w:val="0"/>
      <w:numFmt w:val="bullet"/>
      <w:lvlText w:val="•"/>
      <w:lvlJc w:val="left"/>
      <w:rPr>
        <w:color w:val="3370FF"/>
      </w:rPr>
    </w:lvl>
  </w:abstractNum>
  <w:abstractNum w:abstractNumId="26">
    <w:nsid w:val="25B654F3"/>
    <w:multiLevelType w:val="singleLevel"/>
    <w:tmpl w:val="25B654F3"/>
    <w:lvl w:ilvl="0" w:tentative="0">
      <w:start w:val="0"/>
      <w:numFmt w:val="bullet"/>
      <w:lvlText w:val="•"/>
      <w:lvlJc w:val="left"/>
      <w:rPr>
        <w:color w:val="3370FF"/>
      </w:rPr>
    </w:lvl>
  </w:abstractNum>
  <w:abstractNum w:abstractNumId="27">
    <w:nsid w:val="2A8F537B"/>
    <w:multiLevelType w:val="singleLevel"/>
    <w:tmpl w:val="2A8F537B"/>
    <w:lvl w:ilvl="0" w:tentative="0">
      <w:start w:val="0"/>
      <w:numFmt w:val="bullet"/>
      <w:lvlText w:val="•"/>
      <w:lvlJc w:val="left"/>
      <w:rPr>
        <w:color w:val="3370FF"/>
      </w:rPr>
    </w:lvl>
  </w:abstractNum>
  <w:abstractNum w:abstractNumId="28">
    <w:nsid w:val="30FC5B15"/>
    <w:multiLevelType w:val="singleLevel"/>
    <w:tmpl w:val="30FC5B15"/>
    <w:lvl w:ilvl="0" w:tentative="0">
      <w:start w:val="0"/>
      <w:numFmt w:val="bullet"/>
      <w:lvlText w:val="•"/>
      <w:lvlJc w:val="left"/>
      <w:rPr>
        <w:color w:val="3370FF"/>
      </w:rPr>
    </w:lvl>
  </w:abstractNum>
  <w:abstractNum w:abstractNumId="29">
    <w:nsid w:val="39A0D9AC"/>
    <w:multiLevelType w:val="singleLevel"/>
    <w:tmpl w:val="39A0D9AC"/>
    <w:lvl w:ilvl="0" w:tentative="0">
      <w:start w:val="0"/>
      <w:numFmt w:val="bullet"/>
      <w:lvlText w:val="•"/>
      <w:lvlJc w:val="left"/>
      <w:rPr>
        <w:color w:val="3370FF"/>
      </w:rPr>
    </w:lvl>
  </w:abstractNum>
  <w:abstractNum w:abstractNumId="30">
    <w:nsid w:val="46A08BB8"/>
    <w:multiLevelType w:val="singleLevel"/>
    <w:tmpl w:val="46A08BB8"/>
    <w:lvl w:ilvl="0" w:tentative="0">
      <w:start w:val="0"/>
      <w:numFmt w:val="bullet"/>
      <w:lvlText w:val="•"/>
      <w:lvlJc w:val="left"/>
      <w:rPr>
        <w:color w:val="3370FF"/>
      </w:rPr>
    </w:lvl>
  </w:abstractNum>
  <w:abstractNum w:abstractNumId="31">
    <w:nsid w:val="4C1BAE26"/>
    <w:multiLevelType w:val="singleLevel"/>
    <w:tmpl w:val="4C1BAE26"/>
    <w:lvl w:ilvl="0" w:tentative="0">
      <w:start w:val="0"/>
      <w:numFmt w:val="bullet"/>
      <w:lvlText w:val="•"/>
      <w:lvlJc w:val="left"/>
      <w:rPr>
        <w:color w:val="3370FF"/>
      </w:rPr>
    </w:lvl>
  </w:abstractNum>
  <w:abstractNum w:abstractNumId="32">
    <w:nsid w:val="4D4DC07F"/>
    <w:multiLevelType w:val="singleLevel"/>
    <w:tmpl w:val="4D4DC07F"/>
    <w:lvl w:ilvl="0" w:tentative="0">
      <w:start w:val="0"/>
      <w:numFmt w:val="bullet"/>
      <w:lvlText w:val="•"/>
      <w:lvlJc w:val="left"/>
      <w:rPr>
        <w:color w:val="3370FF"/>
      </w:rPr>
    </w:lvl>
  </w:abstractNum>
  <w:abstractNum w:abstractNumId="33">
    <w:nsid w:val="4D94DA66"/>
    <w:multiLevelType w:val="singleLevel"/>
    <w:tmpl w:val="4D94DA66"/>
    <w:lvl w:ilvl="0" w:tentative="0">
      <w:start w:val="0"/>
      <w:numFmt w:val="bullet"/>
      <w:lvlText w:val="•"/>
      <w:lvlJc w:val="left"/>
      <w:rPr>
        <w:color w:val="3370FF"/>
      </w:rPr>
    </w:lvl>
  </w:abstractNum>
  <w:abstractNum w:abstractNumId="34">
    <w:nsid w:val="58765686"/>
    <w:multiLevelType w:val="singleLevel"/>
    <w:tmpl w:val="58765686"/>
    <w:lvl w:ilvl="0" w:tentative="0">
      <w:start w:val="0"/>
      <w:numFmt w:val="bullet"/>
      <w:lvlText w:val="•"/>
      <w:lvlJc w:val="left"/>
      <w:rPr>
        <w:color w:val="3370FF"/>
      </w:rPr>
    </w:lvl>
  </w:abstractNum>
  <w:abstractNum w:abstractNumId="35">
    <w:nsid w:val="59ADCABA"/>
    <w:multiLevelType w:val="singleLevel"/>
    <w:tmpl w:val="59ADCABA"/>
    <w:lvl w:ilvl="0" w:tentative="0">
      <w:start w:val="0"/>
      <w:numFmt w:val="bullet"/>
      <w:lvlText w:val="•"/>
      <w:lvlJc w:val="left"/>
      <w:rPr>
        <w:color w:val="3370FF"/>
      </w:rPr>
    </w:lvl>
  </w:abstractNum>
  <w:abstractNum w:abstractNumId="36">
    <w:nsid w:val="5A241D34"/>
    <w:multiLevelType w:val="singleLevel"/>
    <w:tmpl w:val="5A241D34"/>
    <w:lvl w:ilvl="0" w:tentative="0">
      <w:start w:val="0"/>
      <w:numFmt w:val="bullet"/>
      <w:lvlText w:val="•"/>
      <w:lvlJc w:val="left"/>
      <w:rPr>
        <w:color w:val="3370FF"/>
      </w:rPr>
    </w:lvl>
  </w:abstractNum>
  <w:abstractNum w:abstractNumId="37">
    <w:nsid w:val="5E29AB5A"/>
    <w:multiLevelType w:val="singleLevel"/>
    <w:tmpl w:val="5E29AB5A"/>
    <w:lvl w:ilvl="0" w:tentative="0">
      <w:start w:val="0"/>
      <w:numFmt w:val="bullet"/>
      <w:lvlText w:val="•"/>
      <w:lvlJc w:val="left"/>
      <w:rPr>
        <w:color w:val="3370FF"/>
      </w:rPr>
    </w:lvl>
  </w:abstractNum>
  <w:abstractNum w:abstractNumId="38">
    <w:nsid w:val="60382F6E"/>
    <w:multiLevelType w:val="singleLevel"/>
    <w:tmpl w:val="60382F6E"/>
    <w:lvl w:ilvl="0" w:tentative="0">
      <w:start w:val="0"/>
      <w:numFmt w:val="bullet"/>
      <w:lvlText w:val="•"/>
      <w:lvlJc w:val="left"/>
      <w:rPr>
        <w:color w:val="3370FF"/>
      </w:rPr>
    </w:lvl>
  </w:abstractNum>
  <w:abstractNum w:abstractNumId="39">
    <w:nsid w:val="629F7852"/>
    <w:multiLevelType w:val="singleLevel"/>
    <w:tmpl w:val="629F7852"/>
    <w:lvl w:ilvl="0" w:tentative="0">
      <w:start w:val="0"/>
      <w:numFmt w:val="bullet"/>
      <w:lvlText w:val="•"/>
      <w:lvlJc w:val="left"/>
      <w:rPr>
        <w:color w:val="3370FF"/>
      </w:rPr>
    </w:lvl>
  </w:abstractNum>
  <w:abstractNum w:abstractNumId="40">
    <w:nsid w:val="72183CF9"/>
    <w:multiLevelType w:val="singleLevel"/>
    <w:tmpl w:val="72183CF9"/>
    <w:lvl w:ilvl="0" w:tentative="0">
      <w:start w:val="0"/>
      <w:numFmt w:val="bullet"/>
      <w:lvlText w:val="•"/>
      <w:lvlJc w:val="left"/>
      <w:rPr>
        <w:color w:val="3370FF"/>
      </w:rPr>
    </w:lvl>
  </w:abstractNum>
  <w:abstractNum w:abstractNumId="41">
    <w:nsid w:val="77ECEA79"/>
    <w:multiLevelType w:val="singleLevel"/>
    <w:tmpl w:val="77ECEA79"/>
    <w:lvl w:ilvl="0" w:tentative="0">
      <w:start w:val="0"/>
      <w:numFmt w:val="bullet"/>
      <w:lvlText w:val="•"/>
      <w:lvlJc w:val="left"/>
      <w:rPr>
        <w:color w:val="3370FF"/>
      </w:rPr>
    </w:lvl>
  </w:abstractNum>
  <w:abstractNum w:abstractNumId="42">
    <w:nsid w:val="79AA4FA4"/>
    <w:multiLevelType w:val="singleLevel"/>
    <w:tmpl w:val="79AA4FA4"/>
    <w:lvl w:ilvl="0" w:tentative="0">
      <w:start w:val="0"/>
      <w:numFmt w:val="bullet"/>
      <w:lvlText w:val="•"/>
      <w:lvlJc w:val="left"/>
      <w:rPr>
        <w:color w:val="3370FF"/>
      </w:rPr>
    </w:lvl>
  </w:abstractNum>
  <w:abstractNum w:abstractNumId="43">
    <w:nsid w:val="7C246926"/>
    <w:multiLevelType w:val="singleLevel"/>
    <w:tmpl w:val="7C246926"/>
    <w:lvl w:ilvl="0" w:tentative="0">
      <w:start w:val="0"/>
      <w:numFmt w:val="bullet"/>
      <w:lvlText w:val="•"/>
      <w:lvlJc w:val="left"/>
      <w:rPr>
        <w:color w:val="3370FF"/>
      </w:rPr>
    </w:lvl>
  </w:abstractNum>
  <w:abstractNum w:abstractNumId="44">
    <w:nsid w:val="7DEC2089"/>
    <w:multiLevelType w:val="singleLevel"/>
    <w:tmpl w:val="7DEC2089"/>
    <w:lvl w:ilvl="0" w:tentative="0">
      <w:start w:val="0"/>
      <w:numFmt w:val="bullet"/>
      <w:lvlText w:val="•"/>
      <w:lvlJc w:val="left"/>
      <w:rPr>
        <w:color w:val="3370FF"/>
      </w:rPr>
    </w:lvl>
  </w:abstractNum>
  <w:num w:numId="1">
    <w:abstractNumId w:val="20"/>
  </w:num>
  <w:num w:numId="2">
    <w:abstractNumId w:val="14"/>
  </w:num>
  <w:num w:numId="3">
    <w:abstractNumId w:val="35"/>
  </w:num>
  <w:num w:numId="4">
    <w:abstractNumId w:val="12"/>
  </w:num>
  <w:num w:numId="5">
    <w:abstractNumId w:val="8"/>
  </w:num>
  <w:num w:numId="6">
    <w:abstractNumId w:val="22"/>
  </w:num>
  <w:num w:numId="7">
    <w:abstractNumId w:val="26"/>
  </w:num>
  <w:num w:numId="8">
    <w:abstractNumId w:val="40"/>
  </w:num>
  <w:num w:numId="9">
    <w:abstractNumId w:val="21"/>
  </w:num>
  <w:num w:numId="10">
    <w:abstractNumId w:val="4"/>
  </w:num>
  <w:num w:numId="11">
    <w:abstractNumId w:val="27"/>
  </w:num>
  <w:num w:numId="12">
    <w:abstractNumId w:val="36"/>
  </w:num>
  <w:num w:numId="13">
    <w:abstractNumId w:val="13"/>
  </w:num>
  <w:num w:numId="14">
    <w:abstractNumId w:val="32"/>
  </w:num>
  <w:num w:numId="15">
    <w:abstractNumId w:val="18"/>
  </w:num>
  <w:num w:numId="16">
    <w:abstractNumId w:val="25"/>
  </w:num>
  <w:num w:numId="17">
    <w:abstractNumId w:val="16"/>
  </w:num>
  <w:num w:numId="18">
    <w:abstractNumId w:val="15"/>
  </w:num>
  <w:num w:numId="19">
    <w:abstractNumId w:val="6"/>
  </w:num>
  <w:num w:numId="20">
    <w:abstractNumId w:val="31"/>
  </w:num>
  <w:num w:numId="21">
    <w:abstractNumId w:val="38"/>
  </w:num>
  <w:num w:numId="22">
    <w:abstractNumId w:val="23"/>
  </w:num>
  <w:num w:numId="23">
    <w:abstractNumId w:val="30"/>
  </w:num>
  <w:num w:numId="24">
    <w:abstractNumId w:val="7"/>
  </w:num>
  <w:num w:numId="25">
    <w:abstractNumId w:val="43"/>
  </w:num>
  <w:num w:numId="26">
    <w:abstractNumId w:val="41"/>
  </w:num>
  <w:num w:numId="27">
    <w:abstractNumId w:val="11"/>
  </w:num>
  <w:num w:numId="28">
    <w:abstractNumId w:val="39"/>
  </w:num>
  <w:num w:numId="29">
    <w:abstractNumId w:val="5"/>
  </w:num>
  <w:num w:numId="30">
    <w:abstractNumId w:val="29"/>
  </w:num>
  <w:num w:numId="31">
    <w:abstractNumId w:val="2"/>
  </w:num>
  <w:num w:numId="32">
    <w:abstractNumId w:val="34"/>
  </w:num>
  <w:num w:numId="33">
    <w:abstractNumId w:val="44"/>
  </w:num>
  <w:num w:numId="34">
    <w:abstractNumId w:val="0"/>
  </w:num>
  <w:num w:numId="35">
    <w:abstractNumId w:val="24"/>
  </w:num>
  <w:num w:numId="36">
    <w:abstractNumId w:val="33"/>
  </w:num>
  <w:num w:numId="37">
    <w:abstractNumId w:val="19"/>
  </w:num>
  <w:num w:numId="38">
    <w:abstractNumId w:val="17"/>
  </w:num>
  <w:num w:numId="39">
    <w:abstractNumId w:val="28"/>
  </w:num>
  <w:num w:numId="40">
    <w:abstractNumId w:val="42"/>
  </w:num>
  <w:num w:numId="41">
    <w:abstractNumId w:val="10"/>
  </w:num>
  <w:num w:numId="42">
    <w:abstractNumId w:val="3"/>
  </w:num>
  <w:num w:numId="43">
    <w:abstractNumId w:val="9"/>
  </w:num>
  <w:num w:numId="44">
    <w:abstractNumId w:val="3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34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4818</Words>
  <Characters>5104</Characters>
  <TotalTime>0</TotalTime>
  <ScaleCrop>false</ScaleCrop>
  <LinksUpToDate>false</LinksUpToDate>
  <CharactersWithSpaces>5143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2026-03-12T08:32:00Z</dcterms:created>
  <dc:creator>Apache POI</dc:creator>
  <cp:lastModifiedBy>WPS_1656314230</cp:lastModifiedBy>
  <dcterms:modified xsi:type="dcterms:W3CDTF">2026-03-12T08:33:48Z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eyJoZGlkIjoiMGRmNGIwOGY3MTU2YjliNzI1ODM1NTRhM2RlZDk4MzkiLCJ1c2VySWQiOiIxMzg4MDY2NDY2In0=</vt:lpwstr>
  </property>
  <property fmtid="{D5CDD505-2E9C-101B-9397-08002B2CF9AE}" pid="3" name="KSOProductBuildVer">
    <vt:lpwstr>2052-12.1.0.25225</vt:lpwstr>
  </property>
  <property fmtid="{D5CDD505-2E9C-101B-9397-08002B2CF9AE}" pid="4" name="ICV">
    <vt:lpwstr>E503FB2E6372432782323AE1B34E5566_13</vt:lpwstr>
  </property>
</Properties>
</file>