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83919">
      <w:pPr>
        <w:spacing w:before="480" w:after="480" w:line="288" w:lineRule="auto"/>
        <w:ind w:left="0"/>
      </w:pPr>
      <w:bookmarkStart w:id="24" w:name="_GoBack"/>
      <w:bookmarkEnd w:id="24"/>
      <w:r>
        <w:rPr>
          <w:rFonts w:ascii="Arial" w:hAnsi="Arial" w:eastAsia="等线" w:cs="Arial"/>
          <w:b/>
          <w:sz w:val="52"/>
        </w:rPr>
        <w:t>施工记录文件</w:t>
      </w:r>
    </w:p>
    <w:p w14:paraId="0D1C41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记录编号</w:t>
      </w:r>
      <w:r>
        <w:rPr>
          <w:rFonts w:ascii="Arial" w:hAnsi="Arial" w:eastAsia="等线" w:cs="Arial"/>
          <w:sz w:val="22"/>
        </w:rPr>
        <w:t>：SG-2025-001</w:t>
      </w:r>
    </w:p>
    <w:p w14:paraId="2419E7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工程名称</w:t>
      </w:r>
      <w:r>
        <w:rPr>
          <w:rFonts w:ascii="Arial" w:hAnsi="Arial" w:eastAsia="等线" w:cs="Arial"/>
          <w:sz w:val="22"/>
        </w:rPr>
        <w:t>：栖·愈——集宠物陪伴、心理疗愈与社交链接于一体的“第三生活空间”工业化内装工程</w:t>
      </w:r>
    </w:p>
    <w:p w14:paraId="05F544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工程地点</w:t>
      </w:r>
      <w:r>
        <w:rPr>
          <w:rFonts w:ascii="Arial" w:hAnsi="Arial" w:eastAsia="等线" w:cs="Arial"/>
          <w:sz w:val="22"/>
        </w:rPr>
        <w:t>：沈阳市沈河区万柳塘公园地区</w:t>
      </w:r>
    </w:p>
    <w:p w14:paraId="52B508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建设单位</w:t>
      </w:r>
      <w:r>
        <w:rPr>
          <w:rFonts w:ascii="Arial" w:hAnsi="Arial" w:eastAsia="等线" w:cs="Arial"/>
          <w:sz w:val="22"/>
        </w:rPr>
        <w:t>：______</w:t>
      </w:r>
    </w:p>
    <w:p w14:paraId="739EA1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施工单位</w:t>
      </w:r>
      <w:r>
        <w:rPr>
          <w:rFonts w:ascii="Arial" w:hAnsi="Arial" w:eastAsia="等线" w:cs="Arial"/>
          <w:sz w:val="22"/>
        </w:rPr>
        <w:t>：______</w:t>
      </w:r>
    </w:p>
    <w:p w14:paraId="6F4453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监理单位</w:t>
      </w:r>
      <w:r>
        <w:rPr>
          <w:rFonts w:ascii="Arial" w:hAnsi="Arial" w:eastAsia="等线" w:cs="Arial"/>
          <w:sz w:val="22"/>
        </w:rPr>
        <w:t>：______</w:t>
      </w:r>
    </w:p>
    <w:p w14:paraId="3FBDF3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：______（具备法定检测资质机构全称，与检测报告一致）</w:t>
      </w:r>
    </w:p>
    <w:p w14:paraId="0D171CF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施工起止日期</w:t>
      </w:r>
      <w:r>
        <w:rPr>
          <w:rFonts w:ascii="Arial" w:hAnsi="Arial" w:eastAsia="等线" w:cs="Arial"/>
          <w:sz w:val="22"/>
        </w:rPr>
        <w:t>：______年______月______日 — ______年______月______日</w:t>
      </w:r>
    </w:p>
    <w:p w14:paraId="285DE4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关联文件</w:t>
      </w:r>
      <w:r>
        <w:rPr>
          <w:rFonts w:ascii="Arial" w:hAnsi="Arial" w:eastAsia="等线" w:cs="Arial"/>
          <w:sz w:val="22"/>
        </w:rPr>
        <w:t>：1. 栖·愈——第三生活空间工业化内装工程材料决算清单（含绿色建材标识证书）（编号：2362-gongyehua-neizhuang-cailiao-juesuan）；2. 栖·愈——第三生活空间工业化内装绿色建材产品性能检测报告（编号：JC-2025-001）</w:t>
      </w:r>
    </w:p>
    <w:p w14:paraId="69C3D1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施工负责人</w:t>
      </w:r>
      <w:r>
        <w:rPr>
          <w:rFonts w:ascii="Arial" w:hAnsi="Arial" w:eastAsia="等线" w:cs="Arial"/>
          <w:sz w:val="22"/>
        </w:rPr>
        <w:t>：______  联系电话：______</w:t>
      </w:r>
    </w:p>
    <w:p w14:paraId="7BE4D2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监理工程师</w:t>
      </w:r>
      <w:r>
        <w:rPr>
          <w:rFonts w:ascii="Arial" w:hAnsi="Arial" w:eastAsia="等线" w:cs="Arial"/>
          <w:sz w:val="22"/>
        </w:rPr>
        <w:t>：______  联系电话：______</w:t>
      </w:r>
    </w:p>
    <w:p w14:paraId="6D0A36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记录人</w:t>
      </w:r>
      <w:r>
        <w:rPr>
          <w:rFonts w:ascii="Arial" w:hAnsi="Arial" w:eastAsia="等线" w:cs="Arial"/>
          <w:sz w:val="22"/>
        </w:rPr>
        <w:t>：______  记录日期：______年______月______日</w:t>
      </w:r>
    </w:p>
    <w:p w14:paraId="1D574943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一、工程概况</w:t>
      </w:r>
      <w:bookmarkEnd w:id="0"/>
    </w:p>
    <w:p w14:paraId="148967D9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工程基本信息</w:t>
      </w:r>
      <w:bookmarkEnd w:id="1"/>
    </w:p>
    <w:p w14:paraId="4F28125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为栖·愈——第三生活空间工业化内装工程，总建筑面积2362.7㎡，为3层框架结构，采用工业化内装体系，核心定位为集宠物陪伴、心理疗愈与社交链接于一体的综合性空间。工程施工内容涵盖墙面、吊顶、地面、门窗、收纳模块等全流程内装施工，全程使用符合绿色建筑标准的可再循环、可再利用、利废三类绿色建材，共计14类，与关联决算清单及检测报告中建材品类、规格、用量完全一致，确保工程绿色环保、质量合规。</w:t>
      </w:r>
    </w:p>
    <w:p w14:paraId="0D3FE27A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施工目标</w:t>
      </w:r>
      <w:bookmarkEnd w:id="2"/>
    </w:p>
    <w:p w14:paraId="601A09AF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质量目标：严格按照国家行业标准、项目设计要求及绿色建材检测标准施工，确保内装工程质量合格，所有分项、分部工程验收通过率100%，符合绿色建筑评价相关指标。</w:t>
      </w:r>
    </w:p>
    <w:p w14:paraId="227C229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安全目标：杜绝重大安全事故、人身伤亡事故发生，轻伤事故发生率控制在0.5‰以内，确保施工人员人身安全及工程财产安全。</w:t>
      </w:r>
    </w:p>
    <w:p w14:paraId="3F196FBD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环保目标：践行绿色施工理念，减少施工扬尘、噪音、废弃物污染，合理利用可再利用、利废建材，提高资源循环利用率，符合环保施工相关规定。</w:t>
      </w:r>
    </w:p>
    <w:p w14:paraId="12B4201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进度目标：严格按照施工计划推进，确保在规定工期内完成所有内装施工任务，不延误工程整体验收及交付。</w:t>
      </w:r>
    </w:p>
    <w:p w14:paraId="0F4C74A3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施工依据</w:t>
      </w:r>
      <w:bookmarkEnd w:id="3"/>
    </w:p>
    <w:p w14:paraId="59A83935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本项目工业化内装工程设计图纸、施工方案及相关技术交底文件；</w:t>
      </w:r>
    </w:p>
    <w:p w14:paraId="6D46D856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《装配式内装修技术标准》GB/T 51349-2019；</w:t>
      </w:r>
    </w:p>
    <w:p w14:paraId="769B362C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50378-2019（2024年版）；</w:t>
      </w:r>
    </w:p>
    <w:p w14:paraId="5240651D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各类绿色建材相关国家、行业标准（与检测报告检测依据一致）；</w:t>
      </w:r>
    </w:p>
    <w:p w14:paraId="6515BCC0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本项目关联决算清单、绿色建材标识证书及性能检测报告；</w:t>
      </w:r>
    </w:p>
    <w:p w14:paraId="4505350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国家及地方关于建筑施工安全、环保、质量验收的相关法律法规及规范。</w:t>
      </w:r>
    </w:p>
    <w:p w14:paraId="68D3A03F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二、施工准备阶段记录</w:t>
      </w:r>
      <w:bookmarkEnd w:id="4"/>
    </w:p>
    <w:p w14:paraId="3B70A05E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技术准备</w:t>
      </w:r>
      <w:bookmarkEnd w:id="5"/>
    </w:p>
    <w:p w14:paraId="52B3D88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前组织施工班组、技术人员开展图纸会审，明确设计意图、施工工艺及技术要点，重点核对绿色建材的安装要求、复用流程及利废建材的施工规范；组织技术交底会议，向施工人员详细讲解各类绿色建材（轻钢龙骨、铝合金型材、SPC锁扣地板等）的性能、安装方法、注意事项，确保施工人员熟练掌握施工技术；结合检测报告中建材性能数据，优化施工工艺，避免因施工操作不当影响建材性能发挥。</w:t>
      </w:r>
    </w:p>
    <w:p w14:paraId="3EF09A95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材料准备</w:t>
      </w:r>
      <w:bookmarkEnd w:id="6"/>
    </w:p>
    <w:p w14:paraId="26B4CC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按照关联决算清单及施工方案要求，完成14类绿色建材的进场验收工作，具体如下：</w:t>
      </w:r>
    </w:p>
    <w:p w14:paraId="1DE61E40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进场建材均提供产品合格证、绿色建材标识证书，与决算清单、检测报告中品类、规格、证书编号一一对应，严禁不合格建材、无标识建材进场；</w:t>
      </w:r>
    </w:p>
    <w:p w14:paraId="55687298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对进场建材进行抽样核查，核对建材外观、尺寸、规格，重点核查可再利用建材的完好性、利废建材的再生原料掺量，核查结果与检测报告样品检测结果一致；</w:t>
      </w:r>
    </w:p>
    <w:p w14:paraId="768B26DB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按照建材特性分类存放，做好防潮、防锈、防破损处理，可再利用建材单独存放，做好标识，避免与其他材料混淆；利废建材单独堆放，做好环保防护，防止二次污染；</w:t>
      </w:r>
    </w:p>
    <w:p w14:paraId="366715B6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建立建材进场台账，详细记录建材名称、规格、数量、进场日期、合格证编号、绿色建材标识编号、检测报告编号、存放位置、领用情况，实现建材全程可追溯。</w:t>
      </w:r>
    </w:p>
    <w:p w14:paraId="668A8D6F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2.3 人员准备</w:t>
      </w:r>
      <w:bookmarkEnd w:id="7"/>
    </w:p>
    <w:p w14:paraId="6D6D9D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组建专业施工班组，配备施工负责人、技术人员、质量检查员、安全管理员及一线施工人员，所有施工人员均具备相应施工资质，经岗前培训、安全培训及绿色建材施工专项培训合格后上岗；明确各岗位人员职责，施工负责人统筹协调施工全流程，技术人员负责现场技术指导，质量检查员负责施工质量核查，安全管理员负责现场安全管控，确保施工有序推进。</w:t>
      </w:r>
    </w:p>
    <w:p w14:paraId="4D9B751B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2.4 机械设备准备</w:t>
      </w:r>
      <w:bookmarkEnd w:id="8"/>
    </w:p>
    <w:p w14:paraId="2DF591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施工工艺要求，配备齐全施工所需机械设备（如切割机、电钻、水准仪、卷尺、吊装设备等），所有机械设备进场前进行调试、检修，确保设备性能良好、运行正常；对机械设备操作人员进行岗前培训，明确操作规范，严禁违规操作；建立机械设备使用台账，记录设备使用情况、维护保养情况，确保机械设备正常投入使用，保障施工进度。</w:t>
      </w:r>
    </w:p>
    <w:p w14:paraId="158B06DA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2.5 现场准备</w:t>
      </w:r>
      <w:bookmarkEnd w:id="9"/>
    </w:p>
    <w:p w14:paraId="3A68EF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清理施工场地，平整场地路面，划分建材存放区、施工操作区、废弃物堆放区，设置明显标识；搭建临时施工设施，配备安全防护设施（如安全网、警示标志、消防器材等），确保施工安全；接通施工现场水电，确保施工用水、用电安全、充足；做好施工现场环保措施，设置扬尘防护网、噪音隔离设施，减少施工对周边环境的影响。</w:t>
      </w:r>
    </w:p>
    <w:p w14:paraId="75A2FF5E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三、施工过程记录</w:t>
      </w:r>
      <w:bookmarkEnd w:id="10"/>
    </w:p>
    <w:p w14:paraId="49BD802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本工程施工严格按照施工方案及技术交底要求推进，分阶段、分分项开展施工，全程做好质量、安全、环保管控，重点记录绿色建材的使用、安装及验收情况，确保施工过程可追溯，具体施工阶段记录如下：</w:t>
      </w:r>
    </w:p>
    <w:p w14:paraId="54C37740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3.1 分项工程施工记录</w:t>
      </w:r>
      <w:bookmarkEnd w:id="1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0"/>
        <w:gridCol w:w="1245"/>
        <w:gridCol w:w="990"/>
        <w:gridCol w:w="1650"/>
        <w:gridCol w:w="2070"/>
        <w:gridCol w:w="825"/>
        <w:gridCol w:w="825"/>
      </w:tblGrid>
      <w:tr w14:paraId="313C3E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916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976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分项工程名称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47E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施工日期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2DB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所用绿色建材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9E4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施工内容及工艺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2B9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质量核查情况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0EF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监理验收情况</w:t>
            </w:r>
          </w:p>
        </w:tc>
      </w:tr>
      <w:tr w14:paraId="759602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9B5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0C0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轻钢龙骨安装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4DD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214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轻钢龙骨（钢材，75型，壁厚1.2mm）、再生金属轻钢龙骨（75型）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104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按照设计标高弹线定位，安装龙骨支架，固定龙骨，调整龙骨平整度、垂直度，确保间距、标高符合要求，衔接牢固，做好防锈处理。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A0E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合格，符合标准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36D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验收通过</w:t>
            </w:r>
          </w:p>
        </w:tc>
      </w:tr>
      <w:tr w14:paraId="6BED06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3E2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1D6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铝合金吊顶、门窗安装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CAE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919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铝合金吊顶模块、断桥铝门窗型材、门窗钢化玻璃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BBE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吊顶模块拼装安装，调整平整度，固定牢固；门窗型材安装定位，安装钢化玻璃，做好密封处理，确保门窗开启灵活、密封严密。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7EA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合格，符合标准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91C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验收通过</w:t>
            </w:r>
          </w:p>
        </w:tc>
      </w:tr>
      <w:tr w14:paraId="2DD563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A5C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FF1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装配式墙板安装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112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D7C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装配式墙板（未损坏）、再生木质复合墙板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9F8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墙板定位放线，拼接安装，调整垂直度、平整度，做好接缝处理，确保墙板牢固、无松动，接缝平整、密封严密。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DDA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合格，符合标准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005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验收通过</w:t>
            </w:r>
          </w:p>
        </w:tc>
      </w:tr>
      <w:tr w14:paraId="709D24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BF5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C44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地面铺装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EF0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674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SPC锁扣地板、再生塑料SPC锁扣地板、再生骨料预制水磨石地砖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382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地面基层处理、找平，按照铺装规范铺设地板、地砖，调整平整度，做好拼接处理，确保地面平整、无松动、无空鼓。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051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合格，符合标准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8E1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验收通过</w:t>
            </w:r>
          </w:p>
        </w:tc>
      </w:tr>
      <w:tr w14:paraId="4B212F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561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137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预制收纳模块安装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49B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C04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预制收纳模块（标准化）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9D2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按照设计位置定位，安装收纳模块，固定牢固，调整水平度、垂直度，确保模块衔接顺畅，承重性能符合要求。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C16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合格，符合标准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144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验收通过</w:t>
            </w:r>
          </w:p>
        </w:tc>
      </w:tr>
      <w:tr w14:paraId="1719E8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B28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7E5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密封处理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115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200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再生塑料密封胶（耐候型）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B45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对门窗缝隙、墙板接缝、吊顶接缝等部位进行密封处理，均匀涂抹密封胶，确保密封严密、无气泡、无开裂，耐候性符合要求。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23D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合格，符合标准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0D8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验收通过</w:t>
            </w:r>
          </w:p>
        </w:tc>
      </w:tr>
    </w:tbl>
    <w:p w14:paraId="79F20357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3.2 绿色建材使用专项记录</w:t>
      </w:r>
      <w:bookmarkEnd w:id="12"/>
    </w:p>
    <w:p w14:paraId="46151ED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本工程全程使用14类绿色建材，严格按照决算清单用量领用、使用，做好可再利用建材的复用、利废建材的规范使用，具体记录如下：</w:t>
      </w:r>
    </w:p>
    <w:p w14:paraId="0FBED928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再循环材料：轻钢龙骨、铝合金型材、门窗钢化玻璃、SPC锁扣地板，按照施工用量领用，剩余材料统一回收，做好标记，便于后续循环利用；施工过程中避免材料浪费，切割、加工过程中产生的废料分类回收，交由专业机构处理。</w:t>
      </w:r>
    </w:p>
    <w:p w14:paraId="37AD5DAE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再利用材料：预制收纳模块、装配式墙板、集成吊顶模块、断桥铝门窗型材，进场前核查完好性，施工过程中轻拿轻放，避免损坏，确保可重复使用；安装过程中严格按照复用规范操作，未损坏的模块、墙板、型材全部投入使用，无浪费情况。</w:t>
      </w:r>
    </w:p>
    <w:p w14:paraId="260FA70D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利废建材：再生骨料预制水磨石地砖、再生塑料SPC锁扣地板、再生金属轻钢龙骨、再生铝合金吊顶模块、再生木质复合墙板、再生塑料密封胶，施工过程中严格按照施工规范操作，确保再生原料性能发挥，施工质量符合标准；做好施工过程中的环保管控，避免利废建材二次污染。</w:t>
      </w:r>
    </w:p>
    <w:p w14:paraId="6CBCF0DC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所有绿色建材的使用均与检测报告中合格样品性能一致，施工过程中未使用不合格、不符合要求的绿色建材，未擅自更换建材品类、规格。</w:t>
      </w:r>
    </w:p>
    <w:p w14:paraId="66C149C2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3.3 质量管控记录</w:t>
      </w:r>
      <w:bookmarkEnd w:id="13"/>
    </w:p>
    <w:p w14:paraId="5591C4BE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施工前：对进场绿色建材进行质量核查，核对产品合格证、绿色建材标识证书及检测报告，抽样检查建材性能，不合格建材严禁进场；对施工机械设备进行调试，确保设备性能良好。</w:t>
      </w:r>
    </w:p>
    <w:p w14:paraId="43933BDE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中：质量检查员全程巡查，重点检查绿色建材安装质量、施工工艺执行情况，核对建材安装的平整度、垂直度、牢固性，发现问题立即整改，做好整改记录；每完成一个分项工程，及时进行自检，自检合格后报监理单位验收，验收合格后方可进入下一道工序。</w:t>
      </w:r>
    </w:p>
    <w:p w14:paraId="3DA53050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施工后：对已完成的分项、分部工程进行全面质量核查，重点核查绿色建材的使用情况、安装质量，确保符合设计要求及国家行业标准；结合检测报告，对建材性能进行复核，确保施工质量与检测结果一致。</w:t>
      </w:r>
    </w:p>
    <w:p w14:paraId="6FE525C6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3.4 安全管控记录</w:t>
      </w:r>
      <w:bookmarkEnd w:id="14"/>
    </w:p>
    <w:p w14:paraId="412AF39C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岗前安全培训：施工前对所有施工人员进行安全培训，讲解施工安全规范、安全操作规程，强调高空作业、机械设备操作、用电安全等注意事项，培训合格后方可上岗。</w:t>
      </w:r>
    </w:p>
    <w:p w14:paraId="3B049F97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场安全管控：安全管理员全程在岗，巡查施工现场，检查安全防护设施、机械设备运行情况，严禁违规操作、违章作业；高空作业人员必须佩戴安全防护用品，施工现场设置警示标志，严禁无关人员进入施工区域。</w:t>
      </w:r>
    </w:p>
    <w:p w14:paraId="2CDD675D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安全隐患整改：定期开展安全隐患排查，发现安全隐患立即停止施工，组织人员整改，整改完成并验收合格后，方可恢复施工；做好安全隐患排查及整改记录，确保施工安全。</w:t>
      </w:r>
    </w:p>
    <w:p w14:paraId="415017E5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施工全过程未发生重大安全事故、人身伤亡事故，轻伤事故发生率控制在规定范围内，安全管控符合相关要求。</w:t>
      </w:r>
    </w:p>
    <w:p w14:paraId="1071E90F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3.5 环保管控记录</w:t>
      </w:r>
      <w:bookmarkEnd w:id="15"/>
    </w:p>
    <w:p w14:paraId="15C1F35E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扬尘管控：施工现场设置扬尘防护网，定期对场地进行洒水降尘，建筑废料、渣土及时清理、覆盖，避免扬尘污染。</w:t>
      </w:r>
    </w:p>
    <w:p w14:paraId="684F07AE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噪音管控：合理安排施工时间，避免夜间施工扰民；施工机械设备做好降噪处理，减少施工噪音污染，符合环保噪音排放标准。</w:t>
      </w:r>
    </w:p>
    <w:p w14:paraId="72792CC9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废弃物处理：施工过程中产生的建筑废料、建材废料分类存放，可回收利用的废料（如金属废料、塑料废料）统一回收，不可回收的废料交由专业环保机构处理，严禁随意丢弃，减少环境污染；利废建材的包装材料、施工废料妥善处理，避免二次污染。</w:t>
      </w:r>
    </w:p>
    <w:p w14:paraId="4EA6AC40">
      <w:pPr>
        <w:spacing w:before="380" w:after="140" w:line="288" w:lineRule="auto"/>
        <w:ind w:left="0"/>
        <w:jc w:val="left"/>
        <w:outlineLvl w:val="0"/>
      </w:pPr>
      <w:bookmarkStart w:id="16" w:name="heading_16"/>
      <w:r>
        <w:rPr>
          <w:rFonts w:ascii="Arial" w:hAnsi="Arial" w:eastAsia="等线" w:cs="Arial"/>
          <w:b/>
          <w:sz w:val="36"/>
        </w:rPr>
        <w:t>四、施工验收记录</w:t>
      </w:r>
      <w:bookmarkEnd w:id="16"/>
    </w:p>
    <w:p w14:paraId="4782AEDD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4.1 分项工程验收</w:t>
      </w:r>
      <w:bookmarkEnd w:id="17"/>
    </w:p>
    <w:p w14:paraId="085B4E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所有分项工程（轻钢龙骨安装、铝合金吊顶及门窗安装、装配式墙板安装、地面铺装、预制收纳模块安装、密封处理等）均按照施工规范完成施工，施工单位自检合格后，报监理单位验收，监理单位严格按照设计要求、国家行业标准及检测报告要求进行验收，所有分项工程验收均合格，验收记录完整，具体验收情况详见分项工程施工记录表。</w:t>
      </w:r>
    </w:p>
    <w:p w14:paraId="616DD4A3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4.2 分部工程验收</w:t>
      </w:r>
      <w:bookmarkEnd w:id="18"/>
    </w:p>
    <w:p w14:paraId="0BA9A55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项工程验收全部合格后，组织开展分部工程验收，分部工程包括墙面工程、吊顶工程、地面工程、门窗工程、收纳工程等，验收内容涵盖施工质量、绿色建材使用情况、工艺执行情况等，验收结果均合格，符合设计要求及绿色建筑评价相关指标，验收记录完整，建设单位、施工单位、监理单位均签字确认。</w:t>
      </w:r>
    </w:p>
    <w:p w14:paraId="54DE116B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4.3 竣工验收</w:t>
      </w:r>
      <w:bookmarkEnd w:id="19"/>
    </w:p>
    <w:p w14:paraId="113372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部工程验收合格后，组织开展工程竣工验收，建设单位、施工单位、监理单位、检测单位共同参与，验收内容包括工程整体质量、绿色建材使用合规性、施工记录完整性、安全环保管控情况等，结合绿色建材性能检测报告，确认工程质量合格，符合绿色建筑标准，竣工验收通过，各方签字确认，形成竣工验收报告。</w:t>
      </w:r>
    </w:p>
    <w:p w14:paraId="6BF61EBB">
      <w:pPr>
        <w:spacing w:before="380" w:after="140" w:line="288" w:lineRule="auto"/>
        <w:ind w:left="0"/>
        <w:jc w:val="left"/>
        <w:outlineLvl w:val="0"/>
      </w:pPr>
      <w:bookmarkStart w:id="20" w:name="heading_20"/>
      <w:r>
        <w:rPr>
          <w:rFonts w:ascii="Arial" w:hAnsi="Arial" w:eastAsia="等线" w:cs="Arial"/>
          <w:b/>
          <w:sz w:val="36"/>
        </w:rPr>
        <w:t>五、施工过程问题及处理记录</w:t>
      </w:r>
      <w:bookmarkEnd w:id="2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0"/>
        <w:gridCol w:w="1245"/>
        <w:gridCol w:w="990"/>
        <w:gridCol w:w="1650"/>
        <w:gridCol w:w="2070"/>
        <w:gridCol w:w="825"/>
        <w:gridCol w:w="825"/>
      </w:tblGrid>
      <w:tr w14:paraId="059D3E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A76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5AD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问题描述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DB9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发现日期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51A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问题原因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2DB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处理措施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694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处理结果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45F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处理人</w:t>
            </w:r>
          </w:p>
        </w:tc>
      </w:tr>
      <w:tr w14:paraId="77460F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CDE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D73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部分轻钢龙骨安装后平整度偏差超标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3DD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D89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施工人员操作不规范，龙骨固定时未及时调整平整度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AC5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拆除偏差超标的龙骨，重新安装，安排技术人员现场指导，调整龙骨平整度，固定牢固后重新核查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8CE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合格，符合标准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45A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</w:tr>
      <w:tr w14:paraId="3B39DEF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01F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958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SPC锁扣地板拼接处有缝隙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65A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B9C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地面基层找平不彻底，拼接时未完全扣合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CAB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对地面基层重新找平，拆除有缝隙的地板，重新拼接扣合，确保拼接紧密、无缝隙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5BF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合格，符合标准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F93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</w:tr>
      <w:tr w14:paraId="0964E0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531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F1D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再生塑料密封胶涂抹不均匀</w:t>
            </w:r>
          </w:p>
        </w:tc>
        <w:tc>
          <w:tcPr>
            <w:tcW w:w="9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CCD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A75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施工人员操作不熟练，涂抹方法不当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180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对涂抹不均匀的部位进行清理，重新涂抹密封胶，安排技术人员指导，确保涂抹均匀、密封严密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FC2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合格，符合标准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7A8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</w:tr>
    </w:tbl>
    <w:p w14:paraId="3D32E5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注：施工过程中发现的所有问题均及时处理，处理后验收合格，未对工程质量、进度造成影响，所有问题处理记录完整可追溯。</w:t>
      </w:r>
    </w:p>
    <w:p w14:paraId="1E63C5DE">
      <w:pPr>
        <w:spacing w:before="380" w:after="140" w:line="288" w:lineRule="auto"/>
        <w:ind w:left="0"/>
        <w:jc w:val="left"/>
        <w:outlineLvl w:val="0"/>
      </w:pPr>
      <w:bookmarkStart w:id="21" w:name="heading_21"/>
      <w:r>
        <w:rPr>
          <w:rFonts w:ascii="Arial" w:hAnsi="Arial" w:eastAsia="等线" w:cs="Arial"/>
          <w:b/>
          <w:sz w:val="36"/>
        </w:rPr>
        <w:t>六、施工总结</w:t>
      </w:r>
      <w:bookmarkEnd w:id="21"/>
    </w:p>
    <w:p w14:paraId="4A9CCF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栖·愈——第三生活空间工业化内装工程，严格按照施工方案、设计要求及国家行业标准推进施工，全程使用14类绿色建材，结合绿色建材性能检测报告，规范施工流程，强化质量、安全、环保管控，顺利完成所有施工任务，具体总结如下：</w:t>
      </w:r>
    </w:p>
    <w:p w14:paraId="6466E06C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质量方面：所有分项、分部工程验收均合格，工程整体质量符合设计要求及绿色建筑标准，绿色建材使用合规，性能发挥良好，与检测报告结果一致，无质量隐患。</w:t>
      </w:r>
    </w:p>
    <w:p w14:paraId="092AC0FE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进度方面：严格按照施工计划推进，合理安排施工工序，解决施工过程中出现的各类问题，确保工程在规定工期内完成施工，如期通过竣工验收。</w:t>
      </w:r>
    </w:p>
    <w:p w14:paraId="5FB9678E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安全方面：全程落实安全管控措施，开展岗前安全培训，定期排查安全隐患，施工全过程未发生重大安全事故、人身伤亡事故，安全管理符合相关要求。</w:t>
      </w:r>
    </w:p>
    <w:p w14:paraId="1DD88379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环保方面：践行绿色施工理念，合理利用可再循环、可再利用、利废建材，做好扬尘、噪音、废弃物管控，减少环境污染，符合绿色建筑环保定位。</w:t>
      </w:r>
    </w:p>
    <w:p w14:paraId="776BB1B5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绿色建材使用方面：严格按照决算清单领用、使用绿色建材，做好可再利用建材的复用、可再循环建材的回收，利废建材规范使用，充分体现资源循环利用的理念，符合绿色建材相关标准及检测要求。</w:t>
      </w:r>
    </w:p>
    <w:p w14:paraId="2831B9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本施工记录完整、真实、有效，详细记录了工程施工全流程，可作为工程验收、决算审核、后期维护的重要依据，确保工程质量可追溯、责任可落实。</w:t>
      </w:r>
    </w:p>
    <w:p w14:paraId="6952DE48">
      <w:pPr>
        <w:spacing w:before="380" w:after="140" w:line="288" w:lineRule="auto"/>
        <w:ind w:left="0"/>
        <w:jc w:val="left"/>
        <w:outlineLvl w:val="0"/>
      </w:pPr>
      <w:bookmarkStart w:id="22" w:name="heading_22"/>
      <w:r>
        <w:rPr>
          <w:rFonts w:ascii="Arial" w:hAnsi="Arial" w:eastAsia="等线" w:cs="Arial"/>
          <w:b/>
          <w:sz w:val="36"/>
        </w:rPr>
        <w:t>七、相关单位签字确认</w:t>
      </w:r>
      <w:bookmarkEnd w:id="2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5"/>
        <w:gridCol w:w="4605"/>
        <w:gridCol w:w="1845"/>
      </w:tblGrid>
      <w:tr w14:paraId="4DCE79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B51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74E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本工程施工记录真实、完整、有效，严格按照施工规范、设计要求及绿色建材相关标准施工，工程质量合格，同意提交。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64A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0BE862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B4C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监理单位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888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已审核本施工记录，确认记录真实、完整，施工过程符合施工规范、设计要求及绿色建材相关标准，工程质量合格，同意确认。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DC1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592CB9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F04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EC0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已核查本施工记录，确认施工过程合规、工程质量合格，绿色建材使用符合要求，与检测报告、决算清单一致，同意确认。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01A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5B4C70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5D4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7D4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确认本工程所用绿色建材与检测报告中合格样品一致，施工过程中建材性能发挥良好，符合检测标准，同意确认。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35C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</w:tbl>
    <w:p w14:paraId="2482E2E5">
      <w:pPr>
        <w:spacing w:before="380" w:after="140" w:line="288" w:lineRule="auto"/>
        <w:ind w:left="0"/>
        <w:jc w:val="left"/>
        <w:outlineLvl w:val="0"/>
      </w:pPr>
      <w:bookmarkStart w:id="23" w:name="heading_23"/>
      <w:r>
        <w:rPr>
          <w:rFonts w:ascii="Arial" w:hAnsi="Arial" w:eastAsia="等线" w:cs="Arial"/>
          <w:b/>
          <w:sz w:val="36"/>
        </w:rPr>
        <w:t>八、附件</w:t>
      </w:r>
      <w:bookmarkEnd w:id="23"/>
    </w:p>
    <w:p w14:paraId="5763AC8C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附件1：本项目工业化内装工程设计图纸、施工方案；</w:t>
      </w:r>
    </w:p>
    <w:p w14:paraId="31937150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附件2：绿色建材产品合格证、绿色建材标识证书；</w:t>
      </w:r>
    </w:p>
    <w:p w14:paraId="0AB8093E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附件3：栖·愈——第三生活空间工业化内装绿色建材产品性能检测报告（编号：JC-2025-001）；</w:t>
      </w:r>
    </w:p>
    <w:p w14:paraId="185B8577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附件4：建材进场台账、领用记录；</w:t>
      </w:r>
    </w:p>
    <w:p w14:paraId="04C1C6D1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附件5：分项、分部工程验收记录、竣工验收报告；</w:t>
      </w:r>
    </w:p>
    <w:p w14:paraId="70ED2FCD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附件6：施工安全隐患排查及整改记录；</w:t>
      </w:r>
    </w:p>
    <w:p w14:paraId="19A9A592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附件7：施工过程照片、视频资料。</w:t>
      </w:r>
    </w:p>
    <w:p w14:paraId="4860E6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BDBE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055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288B902"/>
    <w:multiLevelType w:val="singleLevel"/>
    <w:tmpl w:val="9288B90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B0F1ACD9"/>
    <w:multiLevelType w:val="singleLevel"/>
    <w:tmpl w:val="B0F1ACD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E923771"/>
    <w:multiLevelType w:val="singleLevel"/>
    <w:tmpl w:val="BE92377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C8879AEF"/>
    <w:multiLevelType w:val="singleLevel"/>
    <w:tmpl w:val="C8879A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D7F9FE59"/>
    <w:multiLevelType w:val="singleLevel"/>
    <w:tmpl w:val="D7F9FE5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2">
    <w:nsid w:val="DCBA6B53"/>
    <w:multiLevelType w:val="singleLevel"/>
    <w:tmpl w:val="DCBA6B5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F4B5D9F5"/>
    <w:multiLevelType w:val="singleLevel"/>
    <w:tmpl w:val="F4B5D9F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0E640482"/>
    <w:multiLevelType w:val="singleLevel"/>
    <w:tmpl w:val="0E64048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2470EC97"/>
    <w:multiLevelType w:val="singleLevel"/>
    <w:tmpl w:val="2470EC9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39A0D9AC"/>
    <w:multiLevelType w:val="singleLevel"/>
    <w:tmpl w:val="39A0D9A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6">
    <w:nsid w:val="46A08BB8"/>
    <w:multiLevelType w:val="singleLevel"/>
    <w:tmpl w:val="46A08BB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7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4D4DC07F"/>
    <w:multiLevelType w:val="singleLevel"/>
    <w:tmpl w:val="4D4DC07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9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58765686"/>
    <w:multiLevelType w:val="singleLevel"/>
    <w:tmpl w:val="5876568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1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2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3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4">
    <w:nsid w:val="629F7852"/>
    <w:multiLevelType w:val="singleLevel"/>
    <w:tmpl w:val="629F785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77ECEA79"/>
    <w:multiLevelType w:val="singleLevel"/>
    <w:tmpl w:val="77ECEA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7C246926"/>
    <w:multiLevelType w:val="singleLevel"/>
    <w:tmpl w:val="7C24692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9">
    <w:nsid w:val="7DEC2089"/>
    <w:multiLevelType w:val="singleLevel"/>
    <w:tmpl w:val="7DEC2089"/>
    <w:lvl w:ilvl="0" w:tentative="0">
      <w:start w:val="5"/>
      <w:numFmt w:val="decimal"/>
      <w:lvlText w:val="%1."/>
      <w:lvlJc w:val="left"/>
      <w:rPr>
        <w:color w:val="3370FF"/>
      </w:rPr>
    </w:lvl>
  </w:abstractNum>
  <w:num w:numId="1">
    <w:abstractNumId w:val="16"/>
  </w:num>
  <w:num w:numId="2">
    <w:abstractNumId w:val="10"/>
  </w:num>
  <w:num w:numId="3">
    <w:abstractNumId w:val="31"/>
  </w:num>
  <w:num w:numId="4">
    <w:abstractNumId w:val="8"/>
  </w:num>
  <w:num w:numId="5">
    <w:abstractNumId w:val="6"/>
  </w:num>
  <w:num w:numId="6">
    <w:abstractNumId w:val="18"/>
  </w:num>
  <w:num w:numId="7">
    <w:abstractNumId w:val="22"/>
  </w:num>
  <w:num w:numId="8">
    <w:abstractNumId w:val="35"/>
  </w:num>
  <w:num w:numId="9">
    <w:abstractNumId w:val="17"/>
  </w:num>
  <w:num w:numId="10">
    <w:abstractNumId w:val="2"/>
  </w:num>
  <w:num w:numId="11">
    <w:abstractNumId w:val="23"/>
  </w:num>
  <w:num w:numId="12">
    <w:abstractNumId w:val="32"/>
  </w:num>
  <w:num w:numId="13">
    <w:abstractNumId w:val="9"/>
  </w:num>
  <w:num w:numId="14">
    <w:abstractNumId w:val="28"/>
  </w:num>
  <w:num w:numId="15">
    <w:abstractNumId w:val="14"/>
  </w:num>
  <w:num w:numId="16">
    <w:abstractNumId w:val="21"/>
  </w:num>
  <w:num w:numId="17">
    <w:abstractNumId w:val="12"/>
  </w:num>
  <w:num w:numId="18">
    <w:abstractNumId w:val="11"/>
  </w:num>
  <w:num w:numId="19">
    <w:abstractNumId w:val="4"/>
  </w:num>
  <w:num w:numId="20">
    <w:abstractNumId w:val="27"/>
  </w:num>
  <w:num w:numId="21">
    <w:abstractNumId w:val="33"/>
  </w:num>
  <w:num w:numId="22">
    <w:abstractNumId w:val="19"/>
  </w:num>
  <w:num w:numId="23">
    <w:abstractNumId w:val="26"/>
  </w:num>
  <w:num w:numId="24">
    <w:abstractNumId w:val="5"/>
  </w:num>
  <w:num w:numId="25">
    <w:abstractNumId w:val="38"/>
  </w:num>
  <w:num w:numId="26">
    <w:abstractNumId w:val="36"/>
  </w:num>
  <w:num w:numId="27">
    <w:abstractNumId w:val="7"/>
  </w:num>
  <w:num w:numId="28">
    <w:abstractNumId w:val="34"/>
  </w:num>
  <w:num w:numId="29">
    <w:abstractNumId w:val="3"/>
  </w:num>
  <w:num w:numId="30">
    <w:abstractNumId w:val="25"/>
  </w:num>
  <w:num w:numId="31">
    <w:abstractNumId w:val="1"/>
  </w:num>
  <w:num w:numId="32">
    <w:abstractNumId w:val="30"/>
  </w:num>
  <w:num w:numId="33">
    <w:abstractNumId w:val="39"/>
  </w:num>
  <w:num w:numId="34">
    <w:abstractNumId w:val="0"/>
  </w:num>
  <w:num w:numId="35">
    <w:abstractNumId w:val="20"/>
  </w:num>
  <w:num w:numId="36">
    <w:abstractNumId w:val="29"/>
  </w:num>
  <w:num w:numId="37">
    <w:abstractNumId w:val="15"/>
  </w:num>
  <w:num w:numId="38">
    <w:abstractNumId w:val="13"/>
  </w:num>
  <w:num w:numId="39">
    <w:abstractNumId w:val="2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014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5722</Words>
  <Characters>6139</Characters>
  <TotalTime>0</TotalTime>
  <ScaleCrop>false</ScaleCrop>
  <LinksUpToDate>false</LinksUpToDate>
  <CharactersWithSpaces>6169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2026-03-12T09:10:00Z</dcterms:created>
  <dc:creator>Apache POI</dc:creator>
  <cp:lastModifiedBy>WPS_1656314230</cp:lastModifiedBy>
  <dcterms:modified xsi:type="dcterms:W3CDTF">2026-03-12T09:12:01Z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D70B8074B30148C6A825C29B066FC8F6_13</vt:lpwstr>
  </property>
</Properties>
</file>