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DFDC">
      <w:pPr>
        <w:ind w:firstLine="2730" w:firstLineChars="1300"/>
        <w:rPr>
          <w:rFonts w:hint="eastAsia"/>
        </w:rPr>
      </w:pPr>
      <w:bookmarkStart w:id="0" w:name="_GoBack"/>
      <w:r>
        <w:rPr>
          <w:rFonts w:hint="eastAsia"/>
        </w:rPr>
        <w:t>景观水体补水量平衡计算书</w:t>
      </w:r>
    </w:p>
    <w:bookmarkEnd w:id="0"/>
    <w:p w14:paraId="755A5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E0502">
      <w:pPr>
        <w:rPr>
          <w:rFonts w:hint="eastAsia"/>
        </w:rPr>
      </w:pPr>
      <w:r>
        <w:rPr>
          <w:rFonts w:hint="eastAsia"/>
        </w:rPr>
        <w:t>本项目景观水体总容积约为50m³，设计以雨水资源化为核心补水途径，通过雨水收集、蒸发损耗核算及水量平衡调控，确保水体长期稳定运行。</w:t>
      </w:r>
    </w:p>
    <w:p w14:paraId="06027D0A">
      <w:pPr>
        <w:rPr>
          <w:rFonts w:hint="eastAsia"/>
        </w:rPr>
      </w:pPr>
    </w:p>
    <w:p w14:paraId="3F307402">
      <w:pPr>
        <w:rPr>
          <w:rFonts w:hint="eastAsia"/>
        </w:rPr>
      </w:pPr>
      <w:r>
        <w:rPr>
          <w:rFonts w:hint="eastAsia"/>
        </w:rPr>
        <w:t>项目所在地年平均蒸发量约为1200mm，景观水体汇水面积对应年蒸发总量约为60m³；屋面及场地雨水经收集系统预处理后，可汇入景观水体的年雨水量约为65m³，完全覆盖水体蒸发损耗需求，雨水补水量占水体蒸发量的比例为100%。</w:t>
      </w:r>
    </w:p>
    <w:p w14:paraId="139FE040">
      <w:pPr>
        <w:rPr>
          <w:rFonts w:hint="eastAsia"/>
        </w:rPr>
      </w:pPr>
    </w:p>
    <w:p w14:paraId="4ABF6F42">
      <w:r>
        <w:rPr>
          <w:rFonts w:hint="eastAsia"/>
        </w:rPr>
        <w:t>水体底部采用防渗土工膜及透水垫层复合处理，年渗漏量控制在5m³以内；设置溢流口及溢流管道，多余雨水溢流至周边下凹式绿地，既避免水体流失，又辅助绿地雨水消纳。结合绿化灌溉、水体循环等辅助用水量核算，全年雨水收集量与总补水量实现动态平衡，景观水体无需依赖市政水源补水，符合绿色建筑雨水利用与节水评价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2026-03-11T07:48:30Z</dcterms:created>
  <dc:creator>宁缺毋滥</dc:creator>
  <cp:lastModifiedBy>宁缺毋滥</cp:lastModifiedBy>
  <dcterms:modified xsi:type="dcterms:W3CDTF">2026-03-11T07:49:19Z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58897EE394604B1087EB0EBD54ADD58F_12</vt:lpwstr>
  </property>
</Properties>
</file>