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B35BC">
      <w:pPr>
        <w:ind w:firstLine="2730" w:firstLineChars="1300"/>
        <w:rPr>
          <w:rFonts w:hint="eastAsia"/>
        </w:rPr>
      </w:pPr>
      <w:bookmarkStart w:id="0" w:name="_GoBack"/>
      <w:r>
        <w:rPr>
          <w:rFonts w:hint="eastAsia"/>
        </w:rPr>
        <w:t xml:space="preserve">本地化材料使用比例计算文件 </w:t>
      </w:r>
    </w:p>
    <w:bookmarkEnd w:id="0"/>
    <w:p w14:paraId="44886767">
      <w:pPr>
        <w:rPr>
          <w:rFonts w:hint="eastAsia"/>
        </w:rPr>
      </w:pPr>
      <w:r>
        <w:rPr>
          <w:rFonts w:hint="eastAsia"/>
        </w:rPr>
        <w:t>一、工程概况</w:t>
      </w:r>
    </w:p>
    <w:p w14:paraId="6ADFF5F5">
      <w:pPr>
        <w:rPr>
          <w:rFonts w:hint="eastAsia"/>
        </w:rPr>
      </w:pPr>
      <w:r>
        <w:rPr>
          <w:rFonts w:hint="eastAsia"/>
        </w:rPr>
        <w:t xml:space="preserve"> </w:t>
      </w:r>
    </w:p>
    <w:p w14:paraId="37C52210">
      <w:pPr>
        <w:rPr>
          <w:rFonts w:hint="eastAsia"/>
        </w:rPr>
      </w:pPr>
      <w:r>
        <w:rPr>
          <w:rFonts w:hint="eastAsia"/>
        </w:rPr>
        <w:t>项目名称为栖·愈——集宠物陪伴、心理疗愈与社交链接于一体的“第三生活空间”，建设地点位于沈阳市沈河区万柳塘公园地区，总建筑面积2362.7㎡，建筑层数3层，结构形式为框架结构。设计依据《绿色建筑评价标准》GB/T 50378-2019、《建筑节能与可再生能源利用规范》GB 55015-2021开展相关计算工作，本次本地化材料判定标准明确为：生产地位于沈阳市行政区域范围内（含周边区县）的建筑材料，认定为本地化材料。</w:t>
      </w:r>
    </w:p>
    <w:p w14:paraId="635E30EF">
      <w:pPr>
        <w:rPr>
          <w:rFonts w:hint="eastAsia"/>
        </w:rPr>
      </w:pPr>
      <w:r>
        <w:rPr>
          <w:rFonts w:hint="eastAsia"/>
        </w:rPr>
        <w:t xml:space="preserve"> </w:t>
      </w:r>
    </w:p>
    <w:p w14:paraId="3DE25559">
      <w:pPr>
        <w:rPr>
          <w:rFonts w:hint="eastAsia"/>
        </w:rPr>
      </w:pPr>
      <w:r>
        <w:rPr>
          <w:rFonts w:hint="eastAsia"/>
        </w:rPr>
        <w:t>二、主要建筑材料本地化判定</w:t>
      </w:r>
    </w:p>
    <w:p w14:paraId="0F6E23F4">
      <w:pPr>
        <w:rPr>
          <w:rFonts w:hint="eastAsia"/>
        </w:rPr>
      </w:pPr>
      <w:r>
        <w:rPr>
          <w:rFonts w:hint="eastAsia"/>
        </w:rPr>
        <w:t xml:space="preserve"> </w:t>
      </w:r>
    </w:p>
    <w:p w14:paraId="0013CE19">
      <w:pPr>
        <w:rPr>
          <w:rFonts w:hint="eastAsia"/>
        </w:rPr>
      </w:pPr>
      <w:r>
        <w:rPr>
          <w:rFonts w:hint="eastAsia"/>
        </w:rPr>
        <w:t>本项目主要建筑材料可分为结构材料、围护结构材料、装饰装修材料与水电材料四大类，各类材料主要规格、估算用量及本地化判定情况如下：</w:t>
      </w:r>
    </w:p>
    <w:p w14:paraId="2DB7C84F">
      <w:pPr>
        <w:rPr>
          <w:rFonts w:hint="eastAsia"/>
        </w:rPr>
      </w:pPr>
      <w:r>
        <w:rPr>
          <w:rFonts w:hint="eastAsia"/>
        </w:rPr>
        <w:t xml:space="preserve"> </w:t>
      </w:r>
    </w:p>
    <w:p w14:paraId="65D77038">
      <w:pPr>
        <w:rPr>
          <w:rFonts w:hint="eastAsia"/>
        </w:rPr>
      </w:pPr>
      <w:r>
        <w:rPr>
          <w:rFonts w:hint="eastAsia"/>
        </w:rPr>
        <w:t>1. 结构材料：预拌混凝土（C30~C40），估算用量850立方米，为沈阳本地商品混凝土企业供应；钢筋（HRB400），估算用量120吨，选用鞍钢、本钢等辽宁本地钢厂产品；预拌砂浆（M5~M10），估算用量180吨，由沈阳本地预拌砂浆厂生产，以上三类均判定为沈阳本地材料。</w:t>
      </w:r>
    </w:p>
    <w:p w14:paraId="17101DCC">
      <w:pPr>
        <w:rPr>
          <w:rFonts w:hint="eastAsia"/>
        </w:rPr>
      </w:pPr>
      <w:r>
        <w:rPr>
          <w:rFonts w:hint="eastAsia"/>
        </w:rPr>
        <w:t>2. 围护结构材料：烧结多孔砖，估算用量220立方米，为沈阳周边砖厂生产，判定为沈阳本地材料；保温板（岩棉），估算用量350平方米，为外地品牌非本地生产产品；断桥铝中空玻璃，估算用量280平方米，由沈阳本地门窗厂加工，判定为沈阳本地材料。</w:t>
      </w:r>
    </w:p>
    <w:p w14:paraId="1E68ACB6">
      <w:pPr>
        <w:rPr>
          <w:rFonts w:hint="eastAsia"/>
        </w:rPr>
      </w:pPr>
      <w:r>
        <w:rPr>
          <w:rFonts w:hint="eastAsia"/>
        </w:rPr>
        <w:t>3. 装饰装修材料：内墙乳胶漆，估算用量1200平方米，为沈阳本地涂料品牌产品；地面瓷砖，估算用量900平方米，为外地品牌非本地生产产品。</w:t>
      </w:r>
    </w:p>
    <w:p w14:paraId="54D8995F">
      <w:pPr>
        <w:rPr>
          <w:rFonts w:hint="eastAsia"/>
        </w:rPr>
      </w:pPr>
      <w:r>
        <w:rPr>
          <w:rFonts w:hint="eastAsia"/>
        </w:rPr>
        <w:t>4. 水电材料：PP-R给水管，估算用量650米，为沈阳本地管材厂生产；电线电缆，估算用量1200米，为沈阳本地线缆企业生产，以上两类均判定为沈阳本地材料。</w:t>
      </w:r>
    </w:p>
    <w:p w14:paraId="16181FB7">
      <w:pPr>
        <w:rPr>
          <w:rFonts w:hint="eastAsia"/>
        </w:rPr>
      </w:pPr>
      <w:r>
        <w:rPr>
          <w:rFonts w:hint="eastAsia"/>
        </w:rPr>
        <w:t xml:space="preserve"> </w:t>
      </w:r>
    </w:p>
    <w:p w14:paraId="42432235">
      <w:pPr>
        <w:rPr>
          <w:rFonts w:hint="eastAsia"/>
        </w:rPr>
      </w:pPr>
      <w:r>
        <w:rPr>
          <w:rFonts w:hint="eastAsia"/>
        </w:rPr>
        <w:t>三、本地化材料比例计算</w:t>
      </w:r>
    </w:p>
    <w:p w14:paraId="54DF748D">
      <w:pPr>
        <w:rPr>
          <w:rFonts w:hint="eastAsia"/>
        </w:rPr>
      </w:pPr>
      <w:r>
        <w:rPr>
          <w:rFonts w:hint="eastAsia"/>
        </w:rPr>
        <w:t xml:space="preserve"> </w:t>
      </w:r>
    </w:p>
    <w:p w14:paraId="3CF01F45">
      <w:pPr>
        <w:rPr>
          <w:rFonts w:hint="eastAsia"/>
        </w:rPr>
      </w:pPr>
      <w:r>
        <w:rPr>
          <w:rFonts w:hint="eastAsia"/>
        </w:rPr>
        <w:t>（一）按重量占比计算</w:t>
      </w:r>
    </w:p>
    <w:p w14:paraId="1419585E">
      <w:pPr>
        <w:rPr>
          <w:rFonts w:hint="eastAsia"/>
        </w:rPr>
      </w:pPr>
      <w:r>
        <w:rPr>
          <w:rFonts w:hint="eastAsia"/>
        </w:rPr>
        <w:t xml:space="preserve"> </w:t>
      </w:r>
    </w:p>
    <w:p w14:paraId="70F7F7CF">
      <w:pPr>
        <w:rPr>
          <w:rFonts w:hint="eastAsia"/>
        </w:rPr>
      </w:pPr>
      <w:r>
        <w:rPr>
          <w:rFonts w:hint="eastAsia"/>
        </w:rPr>
        <w:t>首先换算各类材料重量并统计本地化材料总重量：预拌混凝土按2.4吨每立方米折算，850立方米合计2040吨；钢筋直接计取120吨；预拌砂浆计取180吨；烧结多孔砖按1.8吨每立方米折算，220立方米合计396吨；断桥铝型材按0.008吨每平方米折算，280平方米合计2.24吨；内墙乳胶漆按0.0015吨每平方米折算，1200平方米合计1.8吨；PP-R给水管按0.002吨每米折算，650米合计1.3吨；电线电缆按0.001吨每米折算，1200米合计1.2吨。将上述数值相加，本地化材料总重量为2040加120加180加396加2.24加1.8加1.3加1.2，最终得出2742.54吨。</w:t>
      </w:r>
    </w:p>
    <w:p w14:paraId="3FE56374">
      <w:pPr>
        <w:rPr>
          <w:rFonts w:hint="eastAsia"/>
        </w:rPr>
      </w:pPr>
      <w:r>
        <w:rPr>
          <w:rFonts w:hint="eastAsia"/>
        </w:rPr>
        <w:t xml:space="preserve"> </w:t>
      </w:r>
    </w:p>
    <w:p w14:paraId="77252110">
      <w:pPr>
        <w:rPr>
          <w:rFonts w:hint="eastAsia"/>
        </w:rPr>
      </w:pPr>
      <w:r>
        <w:rPr>
          <w:rFonts w:hint="eastAsia"/>
        </w:rPr>
        <w:t>其次统计项目材料总重量：非本地化材料中，岩棉板按0.005吨每平方米折算，350平方米合计1.75吨，地面瓷砖按0.02吨每平方米折算，900平方米合计18吨，非本地化材料总重量为1.75加18，得出19.75吨；项目材料总重量为本地化材料重量与非本地化材料重量之和，即2742.54加19.75，最终得出2762.29吨。</w:t>
      </w:r>
    </w:p>
    <w:p w14:paraId="16F1B23E">
      <w:pPr>
        <w:rPr>
          <w:rFonts w:hint="eastAsia"/>
        </w:rPr>
      </w:pPr>
      <w:r>
        <w:rPr>
          <w:rFonts w:hint="eastAsia"/>
        </w:rPr>
        <w:t xml:space="preserve"> </w:t>
      </w:r>
    </w:p>
    <w:p w14:paraId="659EB40E">
      <w:pPr>
        <w:rPr>
          <w:rFonts w:hint="eastAsia"/>
        </w:rPr>
      </w:pPr>
      <w:r>
        <w:rPr>
          <w:rFonts w:hint="eastAsia"/>
        </w:rPr>
        <w:t>最后计算占比：本地化材料重量占比等于本地化材料总重量除以项目材料总重量再乘以百分之百，经计算得出2742.54除以2762.29再乘以百分之百，结果约为99.28%。</w:t>
      </w:r>
    </w:p>
    <w:p w14:paraId="5DF84A95">
      <w:pPr>
        <w:rPr>
          <w:rFonts w:hint="eastAsia"/>
        </w:rPr>
      </w:pPr>
      <w:r>
        <w:rPr>
          <w:rFonts w:hint="eastAsia"/>
        </w:rPr>
        <w:t xml:space="preserve"> </w:t>
      </w:r>
    </w:p>
    <w:p w14:paraId="02A0DF55">
      <w:pPr>
        <w:rPr>
          <w:rFonts w:hint="eastAsia"/>
        </w:rPr>
      </w:pPr>
      <w:r>
        <w:rPr>
          <w:rFonts w:hint="eastAsia"/>
        </w:rPr>
        <w:t>（二）按价值占比计算</w:t>
      </w:r>
    </w:p>
    <w:p w14:paraId="6A49FE6F">
      <w:pPr>
        <w:rPr>
          <w:rFonts w:hint="eastAsia"/>
        </w:rPr>
      </w:pPr>
      <w:r>
        <w:rPr>
          <w:rFonts w:hint="eastAsia"/>
        </w:rPr>
        <w:t xml:space="preserve"> </w:t>
      </w:r>
    </w:p>
    <w:p w14:paraId="555E239E">
      <w:pPr>
        <w:rPr>
          <w:rFonts w:hint="eastAsia"/>
        </w:rPr>
      </w:pPr>
      <w:r>
        <w:rPr>
          <w:rFonts w:hint="eastAsia"/>
        </w:rPr>
        <w:t>本项目本地化材料总价值约328.5万元，项目所有建筑材料总价值约345万元，本地化材料价值占比等于本地化材料总价值除以项目材料总价值再乘以百分之百，经计算得出328.5除以345再乘以百分之百，结果约为95.22%。</w:t>
      </w:r>
    </w:p>
    <w:p w14:paraId="5B099F03">
      <w:pPr>
        <w:rPr>
          <w:rFonts w:hint="eastAsia"/>
        </w:rPr>
      </w:pPr>
      <w:r>
        <w:rPr>
          <w:rFonts w:hint="eastAsia"/>
        </w:rPr>
        <w:t xml:space="preserve"> </w:t>
      </w:r>
    </w:p>
    <w:p w14:paraId="59989DBD">
      <w:pPr>
        <w:rPr>
          <w:rFonts w:hint="eastAsia"/>
        </w:rPr>
      </w:pPr>
      <w:r>
        <w:rPr>
          <w:rFonts w:hint="eastAsia"/>
        </w:rPr>
        <w:t>四、结论</w:t>
      </w:r>
    </w:p>
    <w:p w14:paraId="530E737A">
      <w:pPr>
        <w:rPr>
          <w:rFonts w:hint="eastAsia"/>
        </w:rPr>
      </w:pPr>
      <w:r>
        <w:rPr>
          <w:rFonts w:hint="eastAsia"/>
        </w:rPr>
        <w:t xml:space="preserve"> </w:t>
      </w:r>
    </w:p>
    <w:p w14:paraId="61AD559C">
      <w:r>
        <w:rPr>
          <w:rFonts w:hint="eastAsia"/>
        </w:rPr>
        <w:t>本项目本地化材料重量占比约99.28%，价值占比约95.22%，两项指标均远高于绿色建筑评价标准中“本地化材料占比≥30%”的要求，充分符合资源节约与绿色建筑设计目标，有效降低了材料运输过程中的能耗与碳排放，切实践行了本地化采购的可持续发展理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4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2026-03-11T06:07:45Z</dcterms:created>
  <dc:creator>宁缺毋滥</dc:creator>
  <cp:lastModifiedBy>宁缺毋滥</cp:lastModifiedBy>
  <dcterms:modified xsi:type="dcterms:W3CDTF">2026-03-11T06:08:14Z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eyJoZGlkIjoiMjAzMzU3Y2Q1YWVjZDFmNmEzNmZkZWJiNWE3YTQzM2QiLCJ1c2VySWQiOiIxNDExMTYxODY5In0=</vt:lpwstr>
  </property>
  <property fmtid="{D5CDD505-2E9C-101B-9397-08002B2CF9AE}" pid="4" name="ICV">
    <vt:lpwstr>CBE931F4A20A46DE86FB658AB7E8A823_12</vt:lpwstr>
  </property>
</Properties>
</file>