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CFB3">
      <w:pPr>
        <w:spacing w:before="480" w:after="480" w:line="288" w:lineRule="auto"/>
        <w:ind w:left="0"/>
      </w:pPr>
      <w:bookmarkStart w:id="18" w:name="_GoBack"/>
      <w:bookmarkEnd w:id="18"/>
      <w:r>
        <w:rPr>
          <w:rFonts w:ascii="Arial" w:hAnsi="Arial" w:eastAsia="等线" w:cs="Arial"/>
          <w:b/>
          <w:sz w:val="52"/>
        </w:rPr>
        <w:t>绿色建材应用比例计算分析报告</w:t>
      </w:r>
    </w:p>
    <w:p w14:paraId="1ADF93CD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一、报告概况</w:t>
      </w:r>
      <w:bookmarkEnd w:id="0"/>
    </w:p>
    <w:p w14:paraId="7F972351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项目基本信息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6630"/>
      </w:tblGrid>
      <w:tr w14:paraId="7A5B5C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9A9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DAE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栖·愈——集宠物陪伴、心理疗愈与社交链接于一体的“第三生活空间”</w:t>
            </w:r>
          </w:p>
        </w:tc>
      </w:tr>
      <w:tr w14:paraId="1D1E75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B4A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建设地点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66C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沈阳市沈河区万柳塘公园地区</w:t>
            </w:r>
          </w:p>
        </w:tc>
      </w:tr>
      <w:tr w14:paraId="2AD86F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8D8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项目规模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5EA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总建筑面积2362.7㎡，3层框架结构，工业化内装体系</w:t>
            </w:r>
          </w:p>
        </w:tc>
      </w:tr>
      <w:tr w14:paraId="2EFFFD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34C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计算范围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341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工业化内装核心部品（装配式墙板、地面、吊顶、门窗、配套部品），总用量8068.49㎡（折算重量约80.69吨）</w:t>
            </w:r>
          </w:p>
        </w:tc>
      </w:tr>
      <w:tr w14:paraId="44CFA9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442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报告用途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DF1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用于绿色建筑评价、工程环保验收、材料溯源管理及工业化内装效果评估</w:t>
            </w:r>
          </w:p>
        </w:tc>
      </w:tr>
    </w:tbl>
    <w:p w14:paraId="0A584798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计算依据</w:t>
      </w:r>
      <w:bookmarkEnd w:id="2"/>
    </w:p>
    <w:p w14:paraId="75DAF825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</w:t>
      </w:r>
    </w:p>
    <w:p w14:paraId="2A0F6F8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《装配式内装修技术标准》GB/T 51349-2019</w:t>
      </w:r>
    </w:p>
    <w:p w14:paraId="0E0FACC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《绿色建材评价标识管理办法》及各品类绿色建材评价技术要求</w:t>
      </w:r>
    </w:p>
    <w:p w14:paraId="28DBC9D0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本项目《工业化内装部品用量比例计算书》</w:t>
      </w:r>
    </w:p>
    <w:p w14:paraId="45ED2AC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本项目《可再循环材料和可再利用材料用量计算书》</w:t>
      </w:r>
    </w:p>
    <w:p w14:paraId="5FBF68E5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本项目《利废建材废弃物掺量说明及证明材料文件》</w:t>
      </w:r>
    </w:p>
    <w:p w14:paraId="0219EE9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本项目《工业化内装材料见证送检报告》《利废材料产品检测报告》</w:t>
      </w:r>
    </w:p>
    <w:p w14:paraId="15A795E7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各类绿色建材产品合格证、绿色建材评价认证文件、再生原料溯源证明</w:t>
      </w:r>
    </w:p>
    <w:p w14:paraId="591BBD2B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绿色建材分类定义</w:t>
      </w:r>
      <w:bookmarkEnd w:id="3"/>
    </w:p>
    <w:p w14:paraId="253D47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本报告将项目所用绿色建材划分为三类，分别核算用量及占比：</w:t>
      </w:r>
    </w:p>
    <w:p w14:paraId="396C8EE6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可再循环材料</w:t>
      </w:r>
      <w:r>
        <w:rPr>
          <w:rFonts w:ascii="Arial" w:hAnsi="Arial" w:eastAsia="等线" w:cs="Arial"/>
          <w:sz w:val="22"/>
        </w:rPr>
        <w:t>：使用后可通过回收、破碎、熔炼、再加工等方式重新利用，且性能符合相关标准的材料（如钢材、铝合金、玻璃、再生塑料等）。</w:t>
      </w:r>
    </w:p>
    <w:p w14:paraId="7A84D146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可再利用材料</w:t>
      </w:r>
      <w:r>
        <w:rPr>
          <w:rFonts w:ascii="Arial" w:hAnsi="Arial" w:eastAsia="等线" w:cs="Arial"/>
          <w:sz w:val="22"/>
        </w:rPr>
        <w:t>：无需深度加工或仅需简单清洁、修复，即可直接二次使用的标准化工业化部品（如未切割、无损坏的墙板、吊顶模块、收纳模块等）。</w:t>
      </w:r>
    </w:p>
    <w:p w14:paraId="57F27C2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利废建材</w:t>
      </w:r>
      <w:r>
        <w:rPr>
          <w:rFonts w:ascii="Arial" w:hAnsi="Arial" w:eastAsia="等线" w:cs="Arial"/>
          <w:sz w:val="22"/>
        </w:rPr>
        <w:t>：以工业废弃物、建筑废弃物、生活废弃物等为主要原料生产的建材（如再生骨料水磨石、再生塑料地板、再生金属龙骨等）。</w:t>
      </w:r>
    </w:p>
    <w:p w14:paraId="7510338C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二、绿色建材用量及比例核算</w:t>
      </w:r>
      <w:bookmarkEnd w:id="4"/>
    </w:p>
    <w:p w14:paraId="56DFCBF4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可再循环材料用量及占比</w:t>
      </w:r>
      <w:bookmarkEnd w:id="5"/>
    </w:p>
    <w:p w14:paraId="01E3AD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可再循环材料以工业化内装核心部品为基础，按材质可回收性核算用量及占比：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2760"/>
      </w:tblGrid>
      <w:tr w14:paraId="3D6C97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BE5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49F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用量（㎡）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9D6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折算重量（吨）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15E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占内装总材料比例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3F2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A8A9E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AB1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轻钢龙骨（钢材）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F84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375.00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631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3.75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818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4.65%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889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用于复合墙板、吊顶龙骨，100%可再循环</w:t>
            </w:r>
          </w:p>
        </w:tc>
      </w:tr>
      <w:tr w14:paraId="48C452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648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铝合金（吊顶+门窗）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096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1656.58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E01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16.57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28E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20.53%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81C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用于集成吊顶、断桥铝门窗，100%可再循环</w:t>
            </w:r>
          </w:p>
        </w:tc>
      </w:tr>
      <w:tr w14:paraId="62904A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8C9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玻璃（门窗）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1CE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147.46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E8A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1.47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9EB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E00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用于门窗钢化玻璃，100%可再循环</w:t>
            </w:r>
          </w:p>
        </w:tc>
      </w:tr>
      <w:tr w14:paraId="099D6B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988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SPC锁扣地板（再生塑料）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801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1156.68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CBE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11.57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337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14.34%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534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按70%可再循环比例核算</w:t>
            </w:r>
          </w:p>
        </w:tc>
      </w:tr>
      <w:tr w14:paraId="3B4F50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85C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BB9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3335.72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6A4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33.36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0AC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41.34%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91B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可再循环材料总用量及占比</w:t>
            </w:r>
          </w:p>
        </w:tc>
      </w:tr>
    </w:tbl>
    <w:p w14:paraId="5C63AE0C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可再利用材料用量及占比</w:t>
      </w:r>
      <w:bookmarkEnd w:id="6"/>
    </w:p>
    <w:p w14:paraId="1196E8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可再利用材料为施工过程中未损坏、规格匹配的标准化部品，按合理损耗比例核算：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2760"/>
      </w:tblGrid>
      <w:tr w14:paraId="3A920C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2E5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426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用量（㎡）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BE1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折算重量（吨）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CD0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占内装总材料比例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6A0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3F6E93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74B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预制收纳模块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69C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A0D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B5D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E7C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按总用量8%核算可再利用量</w:t>
            </w:r>
          </w:p>
        </w:tc>
      </w:tr>
      <w:tr w14:paraId="54A10E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67F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装配式墙板（未损坏）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E75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121.68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882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30A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8F1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按总用量5%核算可再利用量</w:t>
            </w:r>
          </w:p>
        </w:tc>
      </w:tr>
      <w:tr w14:paraId="61F77B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163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集成吊顶模块（未损坏）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BD8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86.90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432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CC6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2CD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按总用量6%核算可再利用量</w:t>
            </w:r>
          </w:p>
        </w:tc>
      </w:tr>
      <w:tr w14:paraId="10928A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777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断桥铝门窗型材（未切割）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98D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14.57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A96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DF7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088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按总用量7%核算可再利用量</w:t>
            </w:r>
          </w:p>
        </w:tc>
      </w:tr>
      <w:tr w14:paraId="2F1530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707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DEF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242.75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1DF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2.43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83E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3.01%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838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可再利用材料总用量及占比</w:t>
            </w:r>
          </w:p>
        </w:tc>
      </w:tr>
    </w:tbl>
    <w:p w14:paraId="6DA18CF4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利废建材用量及占比</w:t>
      </w:r>
      <w:bookmarkEnd w:id="7"/>
    </w:p>
    <w:p w14:paraId="08AE18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利废建材以废弃物为主要原料，按废弃物掺量及实际用量核算：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110"/>
        <w:gridCol w:w="1380"/>
        <w:gridCol w:w="1380"/>
        <w:gridCol w:w="1380"/>
        <w:gridCol w:w="1650"/>
      </w:tblGrid>
      <w:tr w14:paraId="314538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B12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材料类别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881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F68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用量（㎡）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A85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折算重量（吨）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805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占同类建材比例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A70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占内装总材料比例</w:t>
            </w:r>
          </w:p>
        </w:tc>
      </w:tr>
      <w:tr w14:paraId="1E6F17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FEF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再生骨料预制水磨石地砖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F3C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≥30%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D87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708.17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601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7FE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3A4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8.77%</w:t>
            </w:r>
          </w:p>
        </w:tc>
      </w:tr>
      <w:tr w14:paraId="3D07C0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CD3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再生塑料SPC锁扣地板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298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6B2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1652.40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2E5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16.52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419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CDD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20.48%</w:t>
            </w:r>
          </w:p>
        </w:tc>
      </w:tr>
      <w:tr w14:paraId="5C3DB1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7A5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再生金属轻钢龙骨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3D7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≥60%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7BE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375.00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72A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3.75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988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692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4.65%</w:t>
            </w:r>
          </w:p>
        </w:tc>
      </w:tr>
      <w:tr w14:paraId="0972B1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3A2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再生铝合金吊顶模块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E0D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A94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1448.40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E94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14.48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A6B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19A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17.95%</w:t>
            </w:r>
          </w:p>
        </w:tc>
      </w:tr>
      <w:tr w14:paraId="1C2788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9B8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再生木质复合墙板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929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≥40%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30D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1460.15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457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FDE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6C0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18.10%</w:t>
            </w:r>
          </w:p>
        </w:tc>
      </w:tr>
      <w:tr w14:paraId="7D751F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F4D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再生塑料密封胶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061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≥30%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856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61.23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6D9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D23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79D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0.76%</w:t>
            </w:r>
          </w:p>
        </w:tc>
      </w:tr>
      <w:tr w14:paraId="3FAB7C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469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B68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C3C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5705.35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1BB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57.04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376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D08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70.71%</w:t>
            </w:r>
          </w:p>
        </w:tc>
      </w:tr>
    </w:tbl>
    <w:p w14:paraId="07F2E875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2.4 绿色建材总占比核算</w:t>
      </w:r>
      <w:bookmarkEnd w:id="8"/>
    </w:p>
    <w:p w14:paraId="232654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以工业化内装核心部品总重量（80.69吨）为基数，核算绿色建材总应用比例：</w:t>
      </w:r>
    </w:p>
    <w:p w14:paraId="5775915D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可再循环材料占比：41.34%</w:t>
      </w:r>
    </w:p>
    <w:p w14:paraId="4E1BFFB0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可再利用材料占比：3.01%</w:t>
      </w:r>
    </w:p>
    <w:p w14:paraId="05A4DEBA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利废建材占比：70.71%</w:t>
      </w:r>
    </w:p>
    <w:p w14:paraId="0A78E0AF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绿色建材综合应用占比（去重后）：72.36%</w:t>
      </w:r>
    </w:p>
    <w:p w14:paraId="512305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注：综合占比已剔除可再循环材料与利废建材的重复统计部分（如再生铝合金、再生钢材等），避免重复计算。</w:t>
      </w:r>
    </w:p>
    <w:p w14:paraId="4F92B619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三、绿色建材应用合规性分析</w:t>
      </w:r>
      <w:bookmarkEnd w:id="9"/>
    </w:p>
    <w:p w14:paraId="63157E94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3.1 绿色建筑标准符合性</w:t>
      </w:r>
      <w:bookmarkEnd w:id="10"/>
    </w:p>
    <w:p w14:paraId="0C83B9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根据《绿色建筑评价标准》GB/T 50378-2019（2024年版）要求：</w:t>
      </w:r>
    </w:p>
    <w:p w14:paraId="7FF65553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可再循环材料用量占比≥30%：本项目可再循环材料占比41.34%，远超标准要求，符合绿色建筑评价指标。</w:t>
      </w:r>
    </w:p>
    <w:p w14:paraId="0D992000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利废建材应用比例：本项目利废建材占比70.71%，远高于行业平均水平，充分体现资源化利用理念。</w:t>
      </w:r>
    </w:p>
    <w:p w14:paraId="575BF451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绿色建材综合应用占比72.36%，满足绿色建筑三星级评价中“绿色建材应用比例≥60%”的要求，具备申报绿色建筑高星级评价的基础条件。</w:t>
      </w:r>
    </w:p>
    <w:p w14:paraId="2050CCF8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3.2 工业化内装适配性分析</w:t>
      </w:r>
      <w:bookmarkEnd w:id="11"/>
    </w:p>
    <w:p w14:paraId="0AA34D31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绿色建材均为工业化内装核心部品，标准化程度高，可实现工厂预制、现场装配，减少现场湿作业，提升施工效率。</w:t>
      </w:r>
    </w:p>
    <w:p w14:paraId="7AACA429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可再循环、可再利用材料的大量应用，符合工业化内装“全生命周期环保”理念，便于后期维护、更换及回收利用。</w:t>
      </w:r>
    </w:p>
    <w:p w14:paraId="5496FF5A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利废建材的选用，既降低了原生资源消耗，又减少了废弃物排放，与项目“绿色环保、心理疗愈”的定位高度契合。</w:t>
      </w:r>
    </w:p>
    <w:p w14:paraId="3A33D8A8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3.3 材料性能与功能适配性分析</w:t>
      </w:r>
      <w:bookmarkEnd w:id="12"/>
    </w:p>
    <w:p w14:paraId="4184259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所有绿色建材均通过见证送检及利废材料检测，性能指标（如抗压强度、防滑系数、防火等级、环保等级等）符合设计要求及相关标准。</w:t>
      </w:r>
    </w:p>
    <w:p w14:paraId="31C82DF7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利废建材的废弃物掺量均满足规范要求，同时兼顾了材料的力学性能、耐久性能及环保性能，适配宠物陪伴区、心理疗愈区等不同功能区域的使用需求。</w:t>
      </w:r>
    </w:p>
    <w:p w14:paraId="51B02F67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可再利用材料的标准化设计，便于后期维护更换，降低了全生命周期成本，提升了项目的可持续性。</w:t>
      </w:r>
    </w:p>
    <w:p w14:paraId="17B24C44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四、结论与建议</w:t>
      </w:r>
      <w:bookmarkEnd w:id="13"/>
    </w:p>
    <w:p w14:paraId="5BF2A71D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4.1 核心结论</w:t>
      </w:r>
      <w:bookmarkEnd w:id="14"/>
    </w:p>
    <w:p w14:paraId="38E7A9C9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本项目工业化内装绿色建材综合应用占比达72.36%，其中可再循环材料占比41.34%、可再利用材料占比3.01%、利废建材占比70.71%，均满足《绿色建筑评价标准》要求，具备申报绿色建筑高星级评价的条件。</w:t>
      </w:r>
    </w:p>
    <w:p w14:paraId="29736882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绿色建材选用与项目功能定位高度适配，既实现了环保节能、资源化利用的目标，又保障了材料性能及施工质量，符合工业化内装发展理念。</w:t>
      </w:r>
    </w:p>
    <w:p w14:paraId="3AD03903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核算数据真实、准确，与项目《工业化内装部品用量比例计算书》《可再循环材料和可再利用材料用量计算书》《利废建材掺量说明及证明材料文件》等文件逻辑一致，可作为工程验收、绿色建筑评价的核心依据。</w:t>
      </w:r>
    </w:p>
    <w:p w14:paraId="011222CC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4.2 优化建议</w:t>
      </w:r>
      <w:bookmarkEnd w:id="15"/>
    </w:p>
    <w:p w14:paraId="0036CCF4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进一步完善可再利用材料的回收管理制度，建立部品复用台账，提升可再利用材料的实际复用率。</w:t>
      </w:r>
    </w:p>
    <w:p w14:paraId="4CFBD078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在后续运维阶段，推广绿色建材的循环利用模式，鼓励部品拆卸后二次使用，延长材料生命周期。</w:t>
      </w:r>
    </w:p>
    <w:p w14:paraId="1D83D515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加强绿色建材溯源管理，完善证明材料归档，确保材料可追溯、可核查，为绿色建筑评价及环保验收提供完整支撑。</w:t>
      </w:r>
    </w:p>
    <w:p w14:paraId="0083B608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五、证明材料清单</w:t>
      </w:r>
      <w:bookmarkEnd w:id="16"/>
    </w:p>
    <w:p w14:paraId="3E5DD948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《栖·愈项目工业化内装部品用量比例计算书》</w:t>
      </w:r>
    </w:p>
    <w:p w14:paraId="45F5119E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《栖·愈项目可再循环材料和可再利用材料用量计算书》</w:t>
      </w:r>
    </w:p>
    <w:p w14:paraId="49D711BF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《栖·愈项目利废建材废弃物掺量说明及证明材料文件》</w:t>
      </w:r>
    </w:p>
    <w:p w14:paraId="4FF3A750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《栖·愈项目工业化内装材料见证送检报告》</w:t>
      </w:r>
    </w:p>
    <w:p w14:paraId="3C90D515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《栖·愈项目利废材料产品检测报告》</w:t>
      </w:r>
    </w:p>
    <w:p w14:paraId="7250BF22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各类绿色建材产品合格证、绿色建材评价认证文件、再生原料溯源证明</w:t>
      </w:r>
    </w:p>
    <w:p w14:paraId="7EB4CCD6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工业化内装深化设计图、材料进场验收记录、施工日志</w:t>
      </w:r>
    </w:p>
    <w:p w14:paraId="59E8449A"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六、相关单位确认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4605"/>
        <w:gridCol w:w="1845"/>
      </w:tblGrid>
      <w:tr w14:paraId="567381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37B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B56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已核实本报告中绿色建材用量及占比核算，数据真实、准确，符合项目实际及相关规范要求。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AC7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签字（盖章）：日期：______年______月______日</w:t>
            </w:r>
          </w:p>
        </w:tc>
      </w:tr>
      <w:tr w14:paraId="082955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40B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04C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已审核本报告及相关证明材料，确认核算逻辑合规、数据真实有效，可作为绿色建筑评价及工程验收依据。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9F7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签字（盖章）：日期：______年______月______日</w:t>
            </w:r>
          </w:p>
        </w:tc>
      </w:tr>
      <w:tr w14:paraId="2FFBF6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896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A92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已确认本报告中绿色建材应用符合项目设计要求及绿色建筑定位，核算结果与设计意图一致。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01B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签字（盖章）：日期：______年______月______日</w:t>
            </w:r>
          </w:p>
        </w:tc>
      </w:tr>
      <w:tr w14:paraId="56BB53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29D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9F7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同意本报告结论，认可绿色建材应用比例及合规性分析，将作为项目绿色建筑评价及工程管理的核心文件。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F5A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签字（盖章）：日期：______年______月______日</w:t>
            </w:r>
          </w:p>
        </w:tc>
      </w:tr>
    </w:tbl>
    <w:p w14:paraId="398E4D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948D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33B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F7735DC9"/>
    <w:multiLevelType w:val="singleLevel"/>
    <w:tmpl w:val="F7735DC9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243FCF68"/>
    <w:multiLevelType w:val="singleLevel"/>
    <w:tmpl w:val="243FCF68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0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4D94DA66"/>
    <w:multiLevelType w:val="singleLevel"/>
    <w:tmpl w:val="4D94DA66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8">
    <w:nsid w:val="58765686"/>
    <w:multiLevelType w:val="singleLevel"/>
    <w:tmpl w:val="5876568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7DEC2089"/>
    <w:multiLevelType w:val="singleLevel"/>
    <w:tmpl w:val="7DEC208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8"/>
  </w:num>
  <w:num w:numId="5">
    <w:abstractNumId w:val="6"/>
  </w:num>
  <w:num w:numId="6">
    <w:abstractNumId w:val="17"/>
  </w:num>
  <w:num w:numId="7">
    <w:abstractNumId w:val="21"/>
  </w:num>
  <w:num w:numId="8">
    <w:abstractNumId w:val="33"/>
  </w:num>
  <w:num w:numId="9">
    <w:abstractNumId w:val="16"/>
  </w:num>
  <w:num w:numId="10">
    <w:abstractNumId w:val="2"/>
  </w:num>
  <w:num w:numId="11">
    <w:abstractNumId w:val="22"/>
  </w:num>
  <w:num w:numId="12">
    <w:abstractNumId w:val="30"/>
  </w:num>
  <w:num w:numId="13">
    <w:abstractNumId w:val="9"/>
  </w:num>
  <w:num w:numId="14">
    <w:abstractNumId w:val="26"/>
  </w:num>
  <w:num w:numId="15">
    <w:abstractNumId w:val="13"/>
  </w:num>
  <w:num w:numId="16">
    <w:abstractNumId w:val="20"/>
  </w:num>
  <w:num w:numId="17">
    <w:abstractNumId w:val="12"/>
  </w:num>
  <w:num w:numId="18">
    <w:abstractNumId w:val="11"/>
  </w:num>
  <w:num w:numId="19">
    <w:abstractNumId w:val="4"/>
  </w:num>
  <w:num w:numId="20">
    <w:abstractNumId w:val="25"/>
  </w:num>
  <w:num w:numId="21">
    <w:abstractNumId w:val="31"/>
  </w:num>
  <w:num w:numId="22">
    <w:abstractNumId w:val="18"/>
  </w:num>
  <w:num w:numId="23">
    <w:abstractNumId w:val="24"/>
  </w:num>
  <w:num w:numId="24">
    <w:abstractNumId w:val="5"/>
  </w:num>
  <w:num w:numId="25">
    <w:abstractNumId w:val="35"/>
  </w:num>
  <w:num w:numId="26">
    <w:abstractNumId w:val="34"/>
  </w:num>
  <w:num w:numId="27">
    <w:abstractNumId w:val="7"/>
  </w:num>
  <w:num w:numId="28">
    <w:abstractNumId w:val="32"/>
  </w:num>
  <w:num w:numId="29">
    <w:abstractNumId w:val="3"/>
  </w:num>
  <w:num w:numId="30">
    <w:abstractNumId w:val="23"/>
  </w:num>
  <w:num w:numId="31">
    <w:abstractNumId w:val="1"/>
  </w:num>
  <w:num w:numId="32">
    <w:abstractNumId w:val="28"/>
  </w:num>
  <w:num w:numId="33">
    <w:abstractNumId w:val="36"/>
  </w:num>
  <w:num w:numId="34">
    <w:abstractNumId w:val="0"/>
  </w:num>
  <w:num w:numId="35">
    <w:abstractNumId w:val="19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44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2722</Words>
  <Characters>3202</Characters>
  <TotalTime>0</TotalTime>
  <ScaleCrop>false</ScaleCrop>
  <LinksUpToDate>false</LinksUpToDate>
  <CharactersWithSpaces>3219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2026-03-12T08:46:00Z</dcterms:created>
  <dc:creator>Apache POI</dc:creator>
  <cp:lastModifiedBy>WPS_1656314230</cp:lastModifiedBy>
  <dcterms:modified xsi:type="dcterms:W3CDTF">2026-03-12T08:47:34Z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3E1277BDA6C140EFB35CF3DD96E986E3_13</vt:lpwstr>
  </property>
</Properties>
</file>