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黑龙江八一农垦大学洗浴中心各用水部门水质检测报告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报告编号：BYNK-XY-XY-20260317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检测单位：黑龙江八一农垦大学后勤管理处（或具备资质的第三方检测机构）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检测日期：2026年3月17日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检测地点：黑龙江八一农垦大学洗浴中心（含公共洗浴区、员工洗漱区、清洁用水区、热水供应机房）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检测目的：为保障洗浴中心各用水部门供水安全，排查水质卫生隐患，确保在校师生及工作人员使用安全、合格的生活用水，依据国家相关标准，对洗浴中心各用水部门的水质进行全面检测，出具本报告。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一、检测依据</w:t>
      </w:r>
      <w:bookmarkEnd w:id="0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《生活饮用水卫生标准》（GB 5749-2022）（2023年4月1日起实施的新版标准）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《公共浴室卫生标准》（GB 9665-1996）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《黑龙江省生活饮用水卫生管理办法》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黑龙江八一农垦大学后勤管理处《校园公共区域用水安全管理规定》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二、检测概况</w:t>
      </w:r>
      <w:bookmarkEnd w:id="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1. 检测范围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本次检测覆盖黑龙江八一农垦大学洗浴中心所有用水部门，具体包括：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公共洗浴区：男、女洗浴区淋浴龙头出水（随机抽取10个采样点）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员工洗漱区：员工专用洗漱台水龙头出水（抽取3个采样点）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清洁用水区：用于洗浴中心地面、设施清洁的水龙头出水（抽取2个采样点）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热水供应机房：热水水箱出水口、进水口（各抽取1个采样点）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本次共设置采样点16个，所有采样点均位于用水终端，采样过程严格遵循《生活饮用水标准检验方法》（GB/T 5750-2023）要求，确保样品代表性、真实性。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2. 检测项目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结合洗浴中心用水特点，本次检测选取与人体健康密切相关、易出现隐患的核心指标，参照新版《生活饮用水卫生标准》（GB 5749-2022）常规指标要求，具体检测项目如下：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感官性状指标：色度、浑浊度、臭和味、肉眼可见物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理化指标：pH值、铁、锰、铜、锌、氯化物、硫酸盐、总硬度、耗氧量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微生物指标：细菌总数、总大肠菌群、耐热大肠菌群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消毒相关指标：余氯（游离性余氯）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3. 检测方法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所有检测项目均按照《生活饮用水标准检验方法》（GB/T 5750-2023）执行，采用专业检测设备和标准试剂，由具备资质的检测人员操作，确保检测数据准确、可靠。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三、检测结果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本次检测共完成16个采样点、12项检测指标的检测工作，所有检测数据均记录完整，具体检测结果如下（汇总表）：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用水部门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采样点数量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检测指标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合格数量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合格率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公共洗浴区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色度、浑浊度等</w:t>
            </w:r>
            <w:r>
              <w:rPr>
                <w:rFonts w:eastAsia="等线" w:ascii="Arial" w:cs="Arial" w:hAnsi="Arial"/>
                <w:sz w:val="22"/>
              </w:rPr>
              <w:t>12项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  <w:r>
              <w:rPr>
                <w:rFonts w:eastAsia="等线" w:ascii="Arial" w:cs="Arial" w:hAnsi="Arial"/>
                <w:sz w:val="22"/>
              </w:rPr>
              <w:t>00%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所有指标均符合GB 5749-2022标准</w:t>
            </w:r>
            <w:r>
              <w:rPr>
                <w:rFonts w:eastAsia="等线" w:ascii="Arial" w:cs="Arial" w:hAnsi="Arial"/>
                <w:sz w:val="22"/>
              </w:rPr>
              <w:t>要求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员工洗漱区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色度、浑浊度等12项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100%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所有指标均符合GB</w:t>
            </w:r>
            <w:r>
              <w:rPr>
                <w:rFonts w:eastAsia="等线" w:ascii="Arial" w:cs="Arial" w:hAnsi="Arial"/>
                <w:sz w:val="22"/>
              </w:rPr>
              <w:t xml:space="preserve"> 5749-2022标准要求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清洁用水区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色度、浑浊度等12项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100%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所有指标均符合GB </w:t>
            </w:r>
            <w:r>
              <w:rPr>
                <w:rFonts w:eastAsia="等线" w:ascii="Arial" w:cs="Arial" w:hAnsi="Arial"/>
                <w:sz w:val="22"/>
              </w:rPr>
              <w:t>5749-2022标准要求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热水供应机房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色度、浑浊度等12项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100%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水箱</w:t>
            </w:r>
            <w:r>
              <w:rPr>
                <w:rFonts w:eastAsia="等线" w:ascii="Arial" w:cs="Arial" w:hAnsi="Arial"/>
                <w:sz w:val="22"/>
              </w:rPr>
              <w:t>进水口、出水口水质一致，余氯含量达标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合计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17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色度、浑浊度等12项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17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100%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无不合格指标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关键指标检测详情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本次检测重点关注新版《生活饮用水卫生标准》（GB 5749-2022）中调整和新增的相关指标，核心指标检测结果如下：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pH值：所有采样点检测值在7.0-7.8之间，符合标准要求（6.5-8.5），水质呈中性至弱碱性，适宜人体接触。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余氯：游离性余氯检测值在0.3-0.5mg/L之间，符合标准要求（0.2-1.0mg/L），可有效杀灭水中有害微生物，且无过量残留。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微生物指标：所有采样点细菌总数≤100CFU/mL，总大肠菌群、耐热大肠菌群均未检出，符合标准要求，无微生物污染隐患。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感官性状指标：色度≤15度，浑浊度≤1NTU，无异味、无肉眼可见物，水质感官良好，符合洗浴用水要求。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其他理化指标：铁、锰、铜、锌等指标均未超过标准限值，无重金属及其他有害物超标情况。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四、检测结论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本次对黑龙江八一农垦大学洗浴中心各用水部门（公共洗浴区、员工洗漱区、清洁用水区、热水供应机房）的16个采样点、12项核心指标进行检测，检测结果显示：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所有采样点的各项检测指标均符合《生活饮用水卫生标准》（GB 5749-2022）和《公共浴室卫生标准》（GB 9665-1996）的要求，合格率100%。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洗浴中心水质感官良好，无异味、无浑浊、无肉眼可见物，理化指标、微生物指标均达标，无重金属、微生物污染等安全隐患。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热水供应机房进水口、出水口水质一致，说明热水储存、输送过程无二次污染，供水系统运行正常。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结合学校2023年8月收回洗浴中心经营权后加强设施维护管理的工作要求，当前洗浴中心各用水部门水质安全可控，可满足在校师生及工作人员洗浴、洗漱、清洁等日常用水需求。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五、建议与要求</w:t>
      </w:r>
      <w:bookmarkEnd w:id="8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1. 日常维护要求</w:t>
      </w:r>
      <w:bookmarkEnd w:id="9"/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定期对热水供应水箱进行清洗、消毒，建议每季度至少1次，做好清洗消毒记录，防止水箱内滋生细菌，避免二次污染。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定期检查供水管网、淋浴龙头、水龙头等用水设施，及时更换老化、破损部件，防止管网渗漏、生锈，影响水质。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保持用水区域清洁卫生，定期对公共洗浴区、洗漱区进行消毒，避免污水、杂物污染用水终端。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2. 定期检测要求</w:t>
      </w:r>
      <w:bookmarkEnd w:id="10"/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建议每半年对洗浴中心各用水部门水质进行一次全面检测，重点检测微生物、余氯等易波动指标，确保水质持续达标。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若遇供水系统改造、管道维修、水箱清洗等情况，需在施工完成后及时进行水质检测，合格后方可恢复供水。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检测工作可委托具备资质的第三方检测机构开展，确保检测结果的公正性、权威性，严格遵循新版《生活饮用水卫生标准》（GB 5749-2022）要求执行检测。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3. 应急处理要求</w:t>
      </w:r>
      <w:bookmarkEnd w:id="11"/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建立水质异常应急处理机制，若发现水质出现浑浊、异味、变色等异常情况，立即停止相关区域供水，排查污染原因，及时整改，待检测合格后恢复供水。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明确专人负责用水安全管理，做好水质检测、设施维护等相关记录，确保可追溯。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六、附件</w:t>
      </w:r>
      <w:bookmarkEnd w:id="12"/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附件1：各采样点详细检测数据记录表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附件2：检测人员资质证明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附件3：《生活饮用水卫生标准》（GB 5749-2022）相关条款节选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检测单位（盖章）：________________________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检测负责人（签字）：____________________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报告出具日期：2026年3月17日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105444">
    <w:lvl>
      <w:numFmt w:val="bullet"/>
      <w:suff w:val="tab"/>
      <w:lvlText w:val="•"/>
      <w:rPr>
        <w:color w:val="3370ff"/>
      </w:rPr>
    </w:lvl>
  </w:abstractNum>
  <w:abstractNum w:abstractNumId="1105445">
    <w:lvl>
      <w:numFmt w:val="bullet"/>
      <w:suff w:val="tab"/>
      <w:lvlText w:val="•"/>
      <w:rPr>
        <w:color w:val="3370ff"/>
      </w:rPr>
    </w:lvl>
  </w:abstractNum>
  <w:abstractNum w:abstractNumId="1105446">
    <w:lvl>
      <w:numFmt w:val="bullet"/>
      <w:suff w:val="tab"/>
      <w:lvlText w:val="•"/>
      <w:rPr>
        <w:color w:val="3370ff"/>
      </w:rPr>
    </w:lvl>
  </w:abstractNum>
  <w:abstractNum w:abstractNumId="1105447">
    <w:lvl>
      <w:numFmt w:val="bullet"/>
      <w:suff w:val="tab"/>
      <w:lvlText w:val="•"/>
      <w:rPr>
        <w:color w:val="3370ff"/>
      </w:rPr>
    </w:lvl>
  </w:abstractNum>
  <w:abstractNum w:abstractNumId="1105448">
    <w:lvl>
      <w:numFmt w:val="bullet"/>
      <w:suff w:val="tab"/>
      <w:lvlText w:val="•"/>
      <w:rPr>
        <w:color w:val="3370ff"/>
      </w:rPr>
    </w:lvl>
  </w:abstractNum>
  <w:abstractNum w:abstractNumId="1105449">
    <w:lvl>
      <w:numFmt w:val="bullet"/>
      <w:suff w:val="tab"/>
      <w:lvlText w:val="•"/>
      <w:rPr>
        <w:color w:val="3370ff"/>
      </w:rPr>
    </w:lvl>
  </w:abstractNum>
  <w:abstractNum w:abstractNumId="1105450">
    <w:lvl>
      <w:numFmt w:val="bullet"/>
      <w:suff w:val="tab"/>
      <w:lvlText w:val="•"/>
      <w:rPr>
        <w:color w:val="3370ff"/>
      </w:rPr>
    </w:lvl>
  </w:abstractNum>
  <w:abstractNum w:abstractNumId="1105451">
    <w:lvl>
      <w:numFmt w:val="bullet"/>
      <w:suff w:val="tab"/>
      <w:lvlText w:val="•"/>
      <w:rPr>
        <w:color w:val="3370ff"/>
      </w:rPr>
    </w:lvl>
  </w:abstractNum>
  <w:abstractNum w:abstractNumId="1105452">
    <w:lvl>
      <w:numFmt w:val="bullet"/>
      <w:suff w:val="tab"/>
      <w:lvlText w:val="•"/>
      <w:rPr>
        <w:color w:val="3370ff"/>
      </w:rPr>
    </w:lvl>
  </w:abstractNum>
  <w:abstractNum w:abstractNumId="1105453">
    <w:lvl>
      <w:numFmt w:val="bullet"/>
      <w:suff w:val="tab"/>
      <w:lvlText w:val="•"/>
      <w:rPr>
        <w:color w:val="3370ff"/>
      </w:rPr>
    </w:lvl>
  </w:abstractNum>
  <w:abstractNum w:abstractNumId="1105454">
    <w:lvl>
      <w:numFmt w:val="bullet"/>
      <w:suff w:val="tab"/>
      <w:lvlText w:val="•"/>
      <w:rPr>
        <w:color w:val="3370ff"/>
      </w:rPr>
    </w:lvl>
  </w:abstractNum>
  <w:abstractNum w:abstractNumId="1105455">
    <w:lvl>
      <w:numFmt w:val="bullet"/>
      <w:suff w:val="tab"/>
      <w:lvlText w:val="•"/>
      <w:rPr>
        <w:color w:val="3370ff"/>
      </w:rPr>
    </w:lvl>
  </w:abstractNum>
  <w:abstractNum w:abstractNumId="1105456">
    <w:lvl>
      <w:numFmt w:val="bullet"/>
      <w:suff w:val="tab"/>
      <w:lvlText w:val="•"/>
      <w:rPr>
        <w:color w:val="3370ff"/>
      </w:rPr>
    </w:lvl>
  </w:abstractNum>
  <w:abstractNum w:abstractNumId="1105457">
    <w:lvl>
      <w:numFmt w:val="bullet"/>
      <w:suff w:val="tab"/>
      <w:lvlText w:val="•"/>
      <w:rPr>
        <w:color w:val="3370ff"/>
      </w:rPr>
    </w:lvl>
  </w:abstractNum>
  <w:abstractNum w:abstractNumId="1105458">
    <w:lvl>
      <w:numFmt w:val="bullet"/>
      <w:suff w:val="tab"/>
      <w:lvlText w:val="•"/>
      <w:rPr>
        <w:color w:val="3370ff"/>
      </w:rPr>
    </w:lvl>
  </w:abstractNum>
  <w:abstractNum w:abstractNumId="1105459">
    <w:lvl>
      <w:numFmt w:val="bullet"/>
      <w:suff w:val="tab"/>
      <w:lvlText w:val="•"/>
      <w:rPr>
        <w:color w:val="3370ff"/>
      </w:rPr>
    </w:lvl>
  </w:abstractNum>
  <w:abstractNum w:abstractNumId="1105460">
    <w:lvl>
      <w:numFmt w:val="bullet"/>
      <w:suff w:val="tab"/>
      <w:lvlText w:val="•"/>
      <w:rPr>
        <w:color w:val="3370ff"/>
      </w:rPr>
    </w:lvl>
  </w:abstractNum>
  <w:abstractNum w:abstractNumId="1105461">
    <w:lvl>
      <w:start w:val="1"/>
      <w:numFmt w:val="decimal"/>
      <w:suff w:val="tab"/>
      <w:lvlText w:val="%1."/>
      <w:rPr>
        <w:color w:val="3370ff"/>
      </w:rPr>
    </w:lvl>
  </w:abstractNum>
  <w:abstractNum w:abstractNumId="1105462">
    <w:lvl>
      <w:start w:val="2"/>
      <w:numFmt w:val="decimal"/>
      <w:suff w:val="tab"/>
      <w:lvlText w:val="%1."/>
      <w:rPr>
        <w:color w:val="3370ff"/>
      </w:rPr>
    </w:lvl>
  </w:abstractNum>
  <w:abstractNum w:abstractNumId="1105463">
    <w:lvl>
      <w:start w:val="3"/>
      <w:numFmt w:val="decimal"/>
      <w:suff w:val="tab"/>
      <w:lvlText w:val="%1."/>
      <w:rPr>
        <w:color w:val="3370ff"/>
      </w:rPr>
    </w:lvl>
  </w:abstractNum>
  <w:abstractNum w:abstractNumId="1105464">
    <w:lvl>
      <w:start w:val="4"/>
      <w:numFmt w:val="decimal"/>
      <w:suff w:val="tab"/>
      <w:lvlText w:val="%1."/>
      <w:rPr>
        <w:color w:val="3370ff"/>
      </w:rPr>
    </w:lvl>
  </w:abstractNum>
  <w:abstractNum w:abstractNumId="1105465">
    <w:lvl>
      <w:numFmt w:val="bullet"/>
      <w:suff w:val="tab"/>
      <w:lvlText w:val="•"/>
      <w:rPr>
        <w:color w:val="3370ff"/>
      </w:rPr>
    </w:lvl>
  </w:abstractNum>
  <w:abstractNum w:abstractNumId="1105466">
    <w:lvl>
      <w:numFmt w:val="bullet"/>
      <w:suff w:val="tab"/>
      <w:lvlText w:val="•"/>
      <w:rPr>
        <w:color w:val="3370ff"/>
      </w:rPr>
    </w:lvl>
  </w:abstractNum>
  <w:abstractNum w:abstractNumId="1105467">
    <w:lvl>
      <w:numFmt w:val="bullet"/>
      <w:suff w:val="tab"/>
      <w:lvlText w:val="•"/>
      <w:rPr>
        <w:color w:val="3370ff"/>
      </w:rPr>
    </w:lvl>
  </w:abstractNum>
  <w:abstractNum w:abstractNumId="1105468">
    <w:lvl>
      <w:numFmt w:val="bullet"/>
      <w:suff w:val="tab"/>
      <w:lvlText w:val="•"/>
      <w:rPr>
        <w:color w:val="3370ff"/>
      </w:rPr>
    </w:lvl>
  </w:abstractNum>
  <w:abstractNum w:abstractNumId="1105469">
    <w:lvl>
      <w:numFmt w:val="bullet"/>
      <w:suff w:val="tab"/>
      <w:lvlText w:val="•"/>
      <w:rPr>
        <w:color w:val="3370ff"/>
      </w:rPr>
    </w:lvl>
  </w:abstractNum>
  <w:abstractNum w:abstractNumId="1105470">
    <w:lvl>
      <w:numFmt w:val="bullet"/>
      <w:suff w:val="tab"/>
      <w:lvlText w:val="•"/>
      <w:rPr>
        <w:color w:val="3370ff"/>
      </w:rPr>
    </w:lvl>
  </w:abstractNum>
  <w:abstractNum w:abstractNumId="1105471">
    <w:lvl>
      <w:numFmt w:val="bullet"/>
      <w:suff w:val="tab"/>
      <w:lvlText w:val="•"/>
      <w:rPr>
        <w:color w:val="3370ff"/>
      </w:rPr>
    </w:lvl>
  </w:abstractNum>
  <w:abstractNum w:abstractNumId="1105472">
    <w:lvl>
      <w:numFmt w:val="bullet"/>
      <w:suff w:val="tab"/>
      <w:lvlText w:val="•"/>
      <w:rPr>
        <w:color w:val="3370ff"/>
      </w:rPr>
    </w:lvl>
  </w:abstractNum>
  <w:abstractNum w:abstractNumId="1105473">
    <w:lvl>
      <w:numFmt w:val="bullet"/>
      <w:suff w:val="tab"/>
      <w:lvlText w:val="•"/>
      <w:rPr>
        <w:color w:val="3370ff"/>
      </w:rPr>
    </w:lvl>
  </w:abstractNum>
  <w:abstractNum w:abstractNumId="1105474">
    <w:lvl>
      <w:numFmt w:val="bullet"/>
      <w:suff w:val="tab"/>
      <w:lvlText w:val="•"/>
      <w:rPr>
        <w:color w:val="3370ff"/>
      </w:rPr>
    </w:lvl>
  </w:abstractNum>
  <w:abstractNum w:abstractNumId="1105475">
    <w:lvl>
      <w:numFmt w:val="bullet"/>
      <w:suff w:val="tab"/>
      <w:lvlText w:val="•"/>
      <w:rPr>
        <w:color w:val="3370ff"/>
      </w:rPr>
    </w:lvl>
  </w:abstractNum>
  <w:num w:numId="1">
    <w:abstractNumId w:val="1105444"/>
  </w:num>
  <w:num w:numId="2">
    <w:abstractNumId w:val="1105445"/>
  </w:num>
  <w:num w:numId="3">
    <w:abstractNumId w:val="1105446"/>
  </w:num>
  <w:num w:numId="4">
    <w:abstractNumId w:val="1105447"/>
  </w:num>
  <w:num w:numId="5">
    <w:abstractNumId w:val="1105448"/>
  </w:num>
  <w:num w:numId="6">
    <w:abstractNumId w:val="1105449"/>
  </w:num>
  <w:num w:numId="7">
    <w:abstractNumId w:val="1105450"/>
  </w:num>
  <w:num w:numId="8">
    <w:abstractNumId w:val="1105451"/>
  </w:num>
  <w:num w:numId="9">
    <w:abstractNumId w:val="1105452"/>
  </w:num>
  <w:num w:numId="10">
    <w:abstractNumId w:val="1105453"/>
  </w:num>
  <w:num w:numId="11">
    <w:abstractNumId w:val="1105454"/>
  </w:num>
  <w:num w:numId="12">
    <w:abstractNumId w:val="1105455"/>
  </w:num>
  <w:num w:numId="13">
    <w:abstractNumId w:val="1105456"/>
  </w:num>
  <w:num w:numId="14">
    <w:abstractNumId w:val="1105457"/>
  </w:num>
  <w:num w:numId="15">
    <w:abstractNumId w:val="1105458"/>
  </w:num>
  <w:num w:numId="16">
    <w:abstractNumId w:val="1105459"/>
  </w:num>
  <w:num w:numId="17">
    <w:abstractNumId w:val="1105460"/>
  </w:num>
  <w:num w:numId="18">
    <w:abstractNumId w:val="1105461"/>
  </w:num>
  <w:num w:numId="19">
    <w:abstractNumId w:val="1105462"/>
  </w:num>
  <w:num w:numId="20">
    <w:abstractNumId w:val="1105463"/>
  </w:num>
  <w:num w:numId="21">
    <w:abstractNumId w:val="1105464"/>
  </w:num>
  <w:num w:numId="22">
    <w:abstractNumId w:val="1105465"/>
  </w:num>
  <w:num w:numId="23">
    <w:abstractNumId w:val="1105466"/>
  </w:num>
  <w:num w:numId="24">
    <w:abstractNumId w:val="1105467"/>
  </w:num>
  <w:num w:numId="25">
    <w:abstractNumId w:val="1105468"/>
  </w:num>
  <w:num w:numId="26">
    <w:abstractNumId w:val="1105469"/>
  </w:num>
  <w:num w:numId="27">
    <w:abstractNumId w:val="1105470"/>
  </w:num>
  <w:num w:numId="28">
    <w:abstractNumId w:val="1105471"/>
  </w:num>
  <w:num w:numId="29">
    <w:abstractNumId w:val="1105472"/>
  </w:num>
  <w:num w:numId="30">
    <w:abstractNumId w:val="1105473"/>
  </w:num>
  <w:num w:numId="31">
    <w:abstractNumId w:val="1105474"/>
  </w:num>
  <w:num w:numId="32">
    <w:abstractNumId w:val="1105475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2026-03-17T12:44:53Z</dcterms:created>
  <dc:creator>Apache POI</dc:creator>
</cp:coreProperties>
</file>