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7C21">
      <w:pPr>
        <w:spacing w:line="360" w:lineRule="auto"/>
        <w:jc w:val="center"/>
        <w:rPr>
          <w:rFonts w:hint="eastAsia"/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40"/>
        </w:rPr>
        <w:t>室内装修材料选用与污染控制设计说明</w:t>
      </w:r>
    </w:p>
    <w:p w14:paraId="72D05F3E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一、设计依据</w:t>
      </w:r>
    </w:p>
    <w:p w14:paraId="75D89073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本工程室内装修材料的选用与污染控制设计，严格遵循国家及地方现行有关标准、规范，主要包括：</w:t>
      </w:r>
    </w:p>
    <w:p w14:paraId="2A60BD2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1.《室内空气质量标准》GB/T18883-2022</w:t>
      </w:r>
    </w:p>
    <w:p w14:paraId="28CD3D3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2.《公共建筑室内空气质量控制设计标准》JGJ/T461-2019</w:t>
      </w:r>
    </w:p>
    <w:p w14:paraId="7A51FA06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3.《住宅建筑室内装修污染控制技术标准》JGJ/T436-2018</w:t>
      </w:r>
    </w:p>
    <w:p w14:paraId="1333BDF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4.《民用建筑工程室内环境污染控制规范》GB50325</w:t>
      </w:r>
    </w:p>
    <w:p w14:paraId="311D0B9F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 w:ascii="宋体" w:hAnsi="宋体" w:eastAsia="宋体" w:cs="宋体"/>
        </w:rPr>
        <w:t>5.国家现行相关装饰装修材料有害物质限量标准（如GB18580~18587等）</w:t>
      </w:r>
    </w:p>
    <w:p w14:paraId="2D475761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二、室内空气质量设计目标</w:t>
      </w:r>
    </w:p>
    <w:p w14:paraId="1E4666A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根据本建筑的使用功能及标准，室内空气质量目标设定如下：</w:t>
      </w:r>
    </w:p>
    <w:p w14:paraId="02DA025B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1.污染物浓度限值：室内空气中的甲醛、苯、甲苯、二甲苯、总挥发性有机化合物（TVOC）等污染物浓度应符合《室内空气质量标准》GB/T18883-2022的规定。主要指标限值如下：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4C1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2C8B207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序号</w:t>
            </w:r>
          </w:p>
        </w:tc>
        <w:tc>
          <w:tcPr>
            <w:tcW w:w="1704" w:type="dxa"/>
          </w:tcPr>
          <w:p w14:paraId="7633543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污染物</w:t>
            </w:r>
          </w:p>
        </w:tc>
        <w:tc>
          <w:tcPr>
            <w:tcW w:w="1704" w:type="dxa"/>
          </w:tcPr>
          <w:p w14:paraId="69B4D93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单位</w:t>
            </w:r>
          </w:p>
        </w:tc>
        <w:tc>
          <w:tcPr>
            <w:tcW w:w="1705" w:type="dxa"/>
          </w:tcPr>
          <w:p w14:paraId="746A267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标准限值</w:t>
            </w:r>
          </w:p>
        </w:tc>
        <w:tc>
          <w:tcPr>
            <w:tcW w:w="1705" w:type="dxa"/>
          </w:tcPr>
          <w:p w14:paraId="68A1BE4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备注</w:t>
            </w:r>
          </w:p>
        </w:tc>
      </w:tr>
      <w:tr w14:paraId="3604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9F51C0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 w14:paraId="3F7E823D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甲醛</w:t>
            </w:r>
          </w:p>
        </w:tc>
        <w:tc>
          <w:tcPr>
            <w:tcW w:w="1704" w:type="dxa"/>
          </w:tcPr>
          <w:p w14:paraId="54244C4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234E194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≤0.08</w:t>
            </w:r>
          </w:p>
        </w:tc>
        <w:tc>
          <w:tcPr>
            <w:tcW w:w="1705" w:type="dxa"/>
          </w:tcPr>
          <w:p w14:paraId="7049F24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7B5BA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C7E7EB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 w14:paraId="49A9296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苯</w:t>
            </w:r>
          </w:p>
        </w:tc>
        <w:tc>
          <w:tcPr>
            <w:tcW w:w="1704" w:type="dxa"/>
          </w:tcPr>
          <w:p w14:paraId="27451CA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3B68963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≤0.03</w:t>
            </w:r>
          </w:p>
        </w:tc>
        <w:tc>
          <w:tcPr>
            <w:tcW w:w="1705" w:type="dxa"/>
          </w:tcPr>
          <w:p w14:paraId="3F9D46C8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30A1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30DB9A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3</w:t>
            </w:r>
          </w:p>
        </w:tc>
        <w:tc>
          <w:tcPr>
            <w:tcW w:w="1704" w:type="dxa"/>
          </w:tcPr>
          <w:p w14:paraId="323C1A4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甲苯</w:t>
            </w:r>
          </w:p>
        </w:tc>
        <w:tc>
          <w:tcPr>
            <w:tcW w:w="1704" w:type="dxa"/>
          </w:tcPr>
          <w:p w14:paraId="19BF8DF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6591417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3380B26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400C1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4B6B16D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4</w:t>
            </w:r>
          </w:p>
        </w:tc>
        <w:tc>
          <w:tcPr>
            <w:tcW w:w="1704" w:type="dxa"/>
          </w:tcPr>
          <w:p w14:paraId="30A97857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二甲苯</w:t>
            </w:r>
          </w:p>
        </w:tc>
        <w:tc>
          <w:tcPr>
            <w:tcW w:w="1704" w:type="dxa"/>
          </w:tcPr>
          <w:p w14:paraId="2225E06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7D95944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32E43F8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  <w:tr w14:paraId="65EAD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73F1DF5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5</w:t>
            </w:r>
          </w:p>
        </w:tc>
        <w:tc>
          <w:tcPr>
            <w:tcW w:w="1704" w:type="dxa"/>
          </w:tcPr>
          <w:p w14:paraId="13AC6C8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TVOC</w:t>
            </w:r>
          </w:p>
        </w:tc>
        <w:tc>
          <w:tcPr>
            <w:tcW w:w="1704" w:type="dxa"/>
          </w:tcPr>
          <w:p w14:paraId="7273832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46750BD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≤0.60</w:t>
            </w:r>
          </w:p>
        </w:tc>
        <w:tc>
          <w:tcPr>
            <w:tcW w:w="1705" w:type="dxa"/>
          </w:tcPr>
          <w:p w14:paraId="4C7BA5B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8小时平均</w:t>
            </w:r>
          </w:p>
        </w:tc>
      </w:tr>
      <w:tr w14:paraId="67A1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 w14:paraId="5E67E4F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6</w:t>
            </w:r>
          </w:p>
        </w:tc>
        <w:tc>
          <w:tcPr>
            <w:tcW w:w="1704" w:type="dxa"/>
          </w:tcPr>
          <w:p w14:paraId="51705D6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氨</w:t>
            </w:r>
          </w:p>
        </w:tc>
        <w:tc>
          <w:tcPr>
            <w:tcW w:w="1704" w:type="dxa"/>
          </w:tcPr>
          <w:p w14:paraId="535EB4A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mg/m³</w:t>
            </w:r>
          </w:p>
        </w:tc>
        <w:tc>
          <w:tcPr>
            <w:tcW w:w="1705" w:type="dxa"/>
          </w:tcPr>
          <w:p w14:paraId="6395B71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</w:t>
            </w:r>
          </w:p>
        </w:tc>
        <w:tc>
          <w:tcPr>
            <w:tcW w:w="1705" w:type="dxa"/>
          </w:tcPr>
          <w:p w14:paraId="4053D48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1小时平均</w:t>
            </w:r>
          </w:p>
        </w:tc>
      </w:tr>
    </w:tbl>
    <w:p w14:paraId="314A633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2.室内空气质量等级：为保障健康舒适，本工程室内空气质量控制目标不低于JGJ/T461-2019规定的二级标准，重点区域（如幼儿园、养老院等）宜达到一级标准。</w:t>
      </w:r>
    </w:p>
    <w:p w14:paraId="7DDA6CEE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三、装修材料污染物释放率控制要求</w:t>
      </w:r>
    </w:p>
    <w:p w14:paraId="5A72325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为从源头控制污染，所有装饰装修材料必须满足国家相关有害物质限量标准，并依据JGJ/T436-2018对主要材料的污染物释放率进行分级控制。材料采购时应要求供应商提供具有CMA/CNAS资质的第三方检测报告。</w:t>
      </w:r>
    </w:p>
    <w:p w14:paraId="51681D66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1.固态类材料（人造板、地板、家具、墙纸等）</w:t>
      </w:r>
    </w:p>
    <w:p w14:paraId="716E881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材料污染物释放率等级不应低于F2级，主要区域（如卧室、儿童房）宜选用F1级材料。具体要求如下：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05"/>
        <w:gridCol w:w="1856"/>
        <w:gridCol w:w="1855"/>
        <w:gridCol w:w="1822"/>
        <w:gridCol w:w="1784"/>
      </w:tblGrid>
      <w:tr w14:paraId="621B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1E95CF6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污染物</w:t>
            </w:r>
          </w:p>
        </w:tc>
        <w:tc>
          <w:tcPr>
            <w:tcW w:w="1856" w:type="dxa"/>
          </w:tcPr>
          <w:p w14:paraId="017B5F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F1级(mg/(m²·h))</w:t>
            </w:r>
          </w:p>
        </w:tc>
        <w:tc>
          <w:tcPr>
            <w:tcW w:w="1855" w:type="dxa"/>
          </w:tcPr>
          <w:p w14:paraId="48152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F2级(mg/(m²·h))</w:t>
            </w:r>
          </w:p>
        </w:tc>
        <w:tc>
          <w:tcPr>
            <w:tcW w:w="1822" w:type="dxa"/>
          </w:tcPr>
          <w:p w14:paraId="0169F4B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F3级(mg/(m²·h))</w:t>
            </w:r>
          </w:p>
        </w:tc>
        <w:tc>
          <w:tcPr>
            <w:tcW w:w="1784" w:type="dxa"/>
          </w:tcPr>
          <w:p w14:paraId="0AEE84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F4级(mg/(m²·h))</w:t>
            </w:r>
          </w:p>
        </w:tc>
      </w:tr>
      <w:tr w14:paraId="4A80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76E615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甲醛</w:t>
            </w:r>
          </w:p>
        </w:tc>
        <w:tc>
          <w:tcPr>
            <w:tcW w:w="1856" w:type="dxa"/>
          </w:tcPr>
          <w:p w14:paraId="05850DA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E≤0.01</w:t>
            </w:r>
          </w:p>
        </w:tc>
        <w:tc>
          <w:tcPr>
            <w:tcW w:w="1855" w:type="dxa"/>
          </w:tcPr>
          <w:p w14:paraId="67D807B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0.01&lt;E≤0.03</w:t>
            </w:r>
          </w:p>
        </w:tc>
        <w:tc>
          <w:tcPr>
            <w:tcW w:w="1822" w:type="dxa"/>
          </w:tcPr>
          <w:p w14:paraId="09BA73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0.03&lt;E≤0.06</w:t>
            </w:r>
          </w:p>
        </w:tc>
        <w:tc>
          <w:tcPr>
            <w:tcW w:w="1784" w:type="dxa"/>
          </w:tcPr>
          <w:p w14:paraId="2192938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0.06&lt;E≤0.12</w:t>
            </w:r>
          </w:p>
        </w:tc>
      </w:tr>
      <w:tr w14:paraId="17BD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758BA4A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苯</w:t>
            </w:r>
          </w:p>
        </w:tc>
        <w:tc>
          <w:tcPr>
            <w:tcW w:w="1856" w:type="dxa"/>
          </w:tcPr>
          <w:p w14:paraId="368F392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E≤0.01</w:t>
            </w:r>
          </w:p>
        </w:tc>
        <w:tc>
          <w:tcPr>
            <w:tcW w:w="1855" w:type="dxa"/>
          </w:tcPr>
          <w:p w14:paraId="0D842EA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0.01&lt;E≤0.03</w:t>
            </w:r>
          </w:p>
        </w:tc>
        <w:tc>
          <w:tcPr>
            <w:tcW w:w="1822" w:type="dxa"/>
          </w:tcPr>
          <w:p w14:paraId="2B7BBBA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0.03&lt;E≤0.06</w:t>
            </w:r>
          </w:p>
        </w:tc>
        <w:tc>
          <w:tcPr>
            <w:tcW w:w="1784" w:type="dxa"/>
          </w:tcPr>
          <w:p w14:paraId="10D8C08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0.06&lt;E≤0.12</w:t>
            </w:r>
          </w:p>
        </w:tc>
      </w:tr>
      <w:tr w14:paraId="4E910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4FF40C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甲苯</w:t>
            </w:r>
          </w:p>
        </w:tc>
        <w:tc>
          <w:tcPr>
            <w:tcW w:w="1856" w:type="dxa"/>
          </w:tcPr>
          <w:p w14:paraId="03347C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E≤0.01</w:t>
            </w:r>
          </w:p>
        </w:tc>
        <w:tc>
          <w:tcPr>
            <w:tcW w:w="1855" w:type="dxa"/>
          </w:tcPr>
          <w:p w14:paraId="467789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0.01&lt;E≤0.05</w:t>
            </w:r>
          </w:p>
        </w:tc>
        <w:tc>
          <w:tcPr>
            <w:tcW w:w="1822" w:type="dxa"/>
          </w:tcPr>
          <w:p w14:paraId="0366D3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0.05&lt;E≤0.10</w:t>
            </w:r>
          </w:p>
        </w:tc>
        <w:tc>
          <w:tcPr>
            <w:tcW w:w="1784" w:type="dxa"/>
          </w:tcPr>
          <w:p w14:paraId="588369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0.10&lt;E≤0.20</w:t>
            </w:r>
          </w:p>
        </w:tc>
      </w:tr>
      <w:tr w14:paraId="2203B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4804E9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二甲苯</w:t>
            </w:r>
          </w:p>
        </w:tc>
        <w:tc>
          <w:tcPr>
            <w:tcW w:w="1856" w:type="dxa"/>
          </w:tcPr>
          <w:p w14:paraId="0451ADC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E≤0.01</w:t>
            </w:r>
          </w:p>
        </w:tc>
        <w:tc>
          <w:tcPr>
            <w:tcW w:w="1855" w:type="dxa"/>
          </w:tcPr>
          <w:p w14:paraId="62BA55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0.01&lt;E≤0.05</w:t>
            </w:r>
          </w:p>
        </w:tc>
        <w:tc>
          <w:tcPr>
            <w:tcW w:w="1822" w:type="dxa"/>
          </w:tcPr>
          <w:p w14:paraId="0724929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0.05&lt;E≤0.10</w:t>
            </w:r>
          </w:p>
        </w:tc>
        <w:tc>
          <w:tcPr>
            <w:tcW w:w="1784" w:type="dxa"/>
          </w:tcPr>
          <w:p w14:paraId="14588F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0.10&lt;E≤0.20</w:t>
            </w:r>
          </w:p>
        </w:tc>
      </w:tr>
      <w:tr w14:paraId="0E5A1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05" w:type="dxa"/>
          </w:tcPr>
          <w:p w14:paraId="376EA43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TVOC</w:t>
            </w:r>
          </w:p>
        </w:tc>
        <w:tc>
          <w:tcPr>
            <w:tcW w:w="1856" w:type="dxa"/>
          </w:tcPr>
          <w:p w14:paraId="0489FFB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E≤0.0</w:t>
            </w:r>
            <w:r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  <w:t>4</w:t>
            </w:r>
          </w:p>
        </w:tc>
        <w:tc>
          <w:tcPr>
            <w:tcW w:w="1855" w:type="dxa"/>
          </w:tcPr>
          <w:p w14:paraId="1138A37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0.04&lt;E≤0.20</w:t>
            </w:r>
          </w:p>
        </w:tc>
        <w:tc>
          <w:tcPr>
            <w:tcW w:w="1822" w:type="dxa"/>
          </w:tcPr>
          <w:p w14:paraId="204DAC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0.20&lt;E≤0.40</w:t>
            </w:r>
          </w:p>
        </w:tc>
        <w:tc>
          <w:tcPr>
            <w:tcW w:w="1784" w:type="dxa"/>
          </w:tcPr>
          <w:p w14:paraId="61FE6B3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0.40&lt;E≤0.80</w:t>
            </w:r>
          </w:p>
        </w:tc>
      </w:tr>
    </w:tbl>
    <w:p w14:paraId="7E3088E5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注：表中释放率为材料使用后168小时（7天）的稳定释放率。</w:t>
      </w:r>
    </w:p>
    <w:p w14:paraId="132652BD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2.液态类材料（涂料、胶粘剂等）</w:t>
      </w:r>
    </w:p>
    <w:p w14:paraId="5A76D94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液态材料应选用低VOCs、低游离甲醛的产品，其有害物含量应符合下表要求：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72"/>
        <w:gridCol w:w="2488"/>
        <w:gridCol w:w="1356"/>
        <w:gridCol w:w="2906"/>
      </w:tblGrid>
      <w:tr w14:paraId="36BA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455D2F5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材料种类</w:t>
            </w:r>
          </w:p>
        </w:tc>
        <w:tc>
          <w:tcPr>
            <w:tcW w:w="2488" w:type="dxa"/>
          </w:tcPr>
          <w:p w14:paraId="7DC5520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总挥发性有机物（VOCs）</w:t>
            </w:r>
          </w:p>
        </w:tc>
        <w:tc>
          <w:tcPr>
            <w:tcW w:w="1356" w:type="dxa"/>
          </w:tcPr>
          <w:p w14:paraId="6676602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游离甲醛</w:t>
            </w:r>
          </w:p>
        </w:tc>
        <w:tc>
          <w:tcPr>
            <w:tcW w:w="2906" w:type="dxa"/>
          </w:tcPr>
          <w:p w14:paraId="73CBCD6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苯、甲苯、二甲苯、乙苯总和</w:t>
            </w:r>
          </w:p>
        </w:tc>
      </w:tr>
      <w:tr w14:paraId="2A11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28C0EFF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内墙底漆</w:t>
            </w:r>
          </w:p>
        </w:tc>
        <w:tc>
          <w:tcPr>
            <w:tcW w:w="2488" w:type="dxa"/>
          </w:tcPr>
          <w:p w14:paraId="6935244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≤50g/L</w:t>
            </w:r>
          </w:p>
        </w:tc>
        <w:tc>
          <w:tcPr>
            <w:tcW w:w="1356" w:type="dxa"/>
          </w:tcPr>
          <w:p w14:paraId="294849C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≤50mg/kg</w:t>
            </w:r>
          </w:p>
        </w:tc>
        <w:tc>
          <w:tcPr>
            <w:tcW w:w="2906" w:type="dxa"/>
          </w:tcPr>
          <w:p w14:paraId="1D73E82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≤100mg/kg</w:t>
            </w:r>
          </w:p>
        </w:tc>
      </w:tr>
      <w:tr w14:paraId="0DFA8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0957527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木器涂料</w:t>
            </w:r>
          </w:p>
        </w:tc>
        <w:tc>
          <w:tcPr>
            <w:tcW w:w="2488" w:type="dxa"/>
          </w:tcPr>
          <w:p w14:paraId="4EA164A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≤120g/L</w:t>
            </w:r>
          </w:p>
        </w:tc>
        <w:tc>
          <w:tcPr>
            <w:tcW w:w="1356" w:type="dxa"/>
          </w:tcPr>
          <w:p w14:paraId="1CF69BE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≤100mg/kg</w:t>
            </w:r>
          </w:p>
        </w:tc>
        <w:tc>
          <w:tcPr>
            <w:tcW w:w="2906" w:type="dxa"/>
          </w:tcPr>
          <w:p w14:paraId="2FB30A4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≤100mg/kg</w:t>
            </w:r>
          </w:p>
        </w:tc>
      </w:tr>
      <w:tr w14:paraId="121D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72" w:type="dxa"/>
          </w:tcPr>
          <w:p w14:paraId="79FD35D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腻子、填缝剂</w:t>
            </w:r>
          </w:p>
        </w:tc>
        <w:tc>
          <w:tcPr>
            <w:tcW w:w="2488" w:type="dxa"/>
          </w:tcPr>
          <w:p w14:paraId="749A5ED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≤10g/kg</w:t>
            </w:r>
          </w:p>
        </w:tc>
        <w:tc>
          <w:tcPr>
            <w:tcW w:w="1356" w:type="dxa"/>
          </w:tcPr>
          <w:p w14:paraId="3807FC3E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≤50mg/kg</w:t>
            </w:r>
          </w:p>
        </w:tc>
        <w:tc>
          <w:tcPr>
            <w:tcW w:w="2906" w:type="dxa"/>
          </w:tcPr>
          <w:p w14:paraId="76017B4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——</w:t>
            </w:r>
          </w:p>
        </w:tc>
      </w:tr>
    </w:tbl>
    <w:p w14:paraId="00FF6307">
      <w:pPr>
        <w:spacing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表：施工辅助用涂料有害物限量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4B8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82EED9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指标</w:t>
            </w:r>
          </w:p>
        </w:tc>
        <w:tc>
          <w:tcPr>
            <w:tcW w:w="2130" w:type="dxa"/>
          </w:tcPr>
          <w:p w14:paraId="50CA9DD3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氯丁橡胶胶粘剂</w:t>
            </w:r>
          </w:p>
        </w:tc>
        <w:tc>
          <w:tcPr>
            <w:tcW w:w="2131" w:type="dxa"/>
          </w:tcPr>
          <w:p w14:paraId="5C173371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聚氨酯类胶粘剂</w:t>
            </w:r>
          </w:p>
        </w:tc>
        <w:tc>
          <w:tcPr>
            <w:tcW w:w="2131" w:type="dxa"/>
          </w:tcPr>
          <w:p w14:paraId="769F525A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其他胶粘剂</w:t>
            </w:r>
          </w:p>
        </w:tc>
      </w:tr>
      <w:tr w14:paraId="3711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9FC02C2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游离甲醛</w:t>
            </w:r>
          </w:p>
        </w:tc>
        <w:tc>
          <w:tcPr>
            <w:tcW w:w="2130" w:type="dxa"/>
          </w:tcPr>
          <w:p w14:paraId="1F3A737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≤0.50g/kg</w:t>
            </w:r>
          </w:p>
        </w:tc>
        <w:tc>
          <w:tcPr>
            <w:tcW w:w="2131" w:type="dxa"/>
          </w:tcPr>
          <w:p w14:paraId="398147D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≤1.0g/kg</w:t>
            </w:r>
          </w:p>
        </w:tc>
        <w:tc>
          <w:tcPr>
            <w:tcW w:w="2131" w:type="dxa"/>
          </w:tcPr>
          <w:p w14:paraId="7E61B85F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≤1.0g/kg</w:t>
            </w:r>
          </w:p>
        </w:tc>
      </w:tr>
      <w:tr w14:paraId="7177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2ECC2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苯</w:t>
            </w:r>
          </w:p>
        </w:tc>
        <w:tc>
          <w:tcPr>
            <w:tcW w:w="2130" w:type="dxa"/>
          </w:tcPr>
          <w:p w14:paraId="6FA330EC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≤0.20g/kg</w:t>
            </w:r>
          </w:p>
        </w:tc>
        <w:tc>
          <w:tcPr>
            <w:tcW w:w="2131" w:type="dxa"/>
          </w:tcPr>
          <w:p w14:paraId="6420C59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≤0.20g/kg</w:t>
            </w:r>
          </w:p>
        </w:tc>
        <w:tc>
          <w:tcPr>
            <w:tcW w:w="2131" w:type="dxa"/>
          </w:tcPr>
          <w:p w14:paraId="2E35AADD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≤0.20g/kg</w:t>
            </w:r>
          </w:p>
        </w:tc>
      </w:tr>
      <w:tr w14:paraId="2CCD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0CF6C900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甲苯+二甲苯</w:t>
            </w:r>
          </w:p>
        </w:tc>
        <w:tc>
          <w:tcPr>
            <w:tcW w:w="2130" w:type="dxa"/>
          </w:tcPr>
          <w:p w14:paraId="28CCB119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≤10g/kg</w:t>
            </w:r>
          </w:p>
        </w:tc>
        <w:tc>
          <w:tcPr>
            <w:tcW w:w="2131" w:type="dxa"/>
          </w:tcPr>
          <w:p w14:paraId="0D052487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≤10g/kg</w:t>
            </w:r>
          </w:p>
        </w:tc>
        <w:tc>
          <w:tcPr>
            <w:tcW w:w="2131" w:type="dxa"/>
          </w:tcPr>
          <w:p w14:paraId="5F4DE155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≤10g/kg</w:t>
            </w:r>
          </w:p>
        </w:tc>
      </w:tr>
      <w:tr w14:paraId="7CFA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5D9B40B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总挥发性有机物</w:t>
            </w:r>
          </w:p>
        </w:tc>
        <w:tc>
          <w:tcPr>
            <w:tcW w:w="2130" w:type="dxa"/>
          </w:tcPr>
          <w:p w14:paraId="1981897E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≤250g/L</w:t>
            </w:r>
          </w:p>
        </w:tc>
        <w:tc>
          <w:tcPr>
            <w:tcW w:w="2131" w:type="dxa"/>
          </w:tcPr>
          <w:p w14:paraId="77522C4B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≤100g/L</w:t>
            </w:r>
          </w:p>
        </w:tc>
        <w:tc>
          <w:tcPr>
            <w:tcW w:w="2131" w:type="dxa"/>
          </w:tcPr>
          <w:p w14:paraId="574EF4A8">
            <w:pPr>
              <w:spacing w:line="360" w:lineRule="auto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≤350g/L</w:t>
            </w:r>
          </w:p>
        </w:tc>
      </w:tr>
    </w:tbl>
    <w:p w14:paraId="706D021F">
      <w:pPr>
        <w:spacing w:line="36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表：胶粘剂有害物限量</w:t>
      </w:r>
    </w:p>
    <w:p w14:paraId="6D16FD89">
      <w:pPr>
        <w:spacing w:line="360" w:lineRule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四、主要装修材料用量及承载率控制</w:t>
      </w:r>
    </w:p>
    <w:p w14:paraId="25C6012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防止因材料用量过大导致污染物浓度叠加超标，须对单位面积材料用量（面积承载率）进行控制。本工程采用规定指标法进行初步设计核算，计算温度按当地最热月平均温度取值（例如：北京，27.1℃），对应温度修正系数α=1.55（基于23℃标准工况）。</w:t>
      </w:r>
    </w:p>
    <w:p w14:paraId="7C99C99E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1.材料面积承载率计算公式（适用于Ⅱ级目标）：</w:t>
      </w:r>
    </w:p>
    <w:p w14:paraId="04DBDE6A">
      <w:pPr>
        <w:spacing w:line="360" w:lineRule="auto"/>
        <w:rPr>
          <w:rFonts w:hint="eastAsia" w:ascii="宋体" w:hAnsi="宋体" w:cs="宋体" w:eastAsiaTheme="minorEastAsia"/>
          <w:lang w:val="en-US" w:eastAsia="zh-CN"/>
        </w:rPr>
      </w:pPr>
      <m:oMathPara>
        <m:oMath>
          <m:f>
            <m:fPr>
              <m:ctrlPr>
                <w:rPr>
                  <w:rFonts w:ascii="Cambria Math" w:hAnsi="Cambria Math" w:cs="宋体"/>
                  <w:i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1</m:t>
              </m:r>
              <m:ctrlPr>
                <w:rPr>
                  <w:rFonts w:ascii="Cambria Math" w:hAnsi="Cambria Math" w:cs="宋体"/>
                  <w:i/>
                </w:rPr>
              </m:ctrlPr>
            </m:num>
            <m:den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4</m:t>
              </m:r>
              <m:ctrlPr>
                <w:rPr>
                  <w:rFonts w:ascii="Cambria Math" w:hAnsi="Cambria Math" w:cs="宋体"/>
                  <w:i/>
                </w:rPr>
              </m:ctrlPr>
            </m:den>
          </m:f>
          <m:sSub>
            <m:sSubPr>
              <m:ctrlPr>
                <w:rPr>
                  <w:rFonts w:ascii="Cambria Math" w:hAnsi="Cambria Math" w:cs="宋体"/>
                  <w:i/>
                </w:rPr>
              </m:ctrlPr>
            </m:sSubPr>
            <m:e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N</m:t>
              </m:r>
              <m:ctrlPr>
                <w:rPr>
                  <w:rFonts w:ascii="Cambria Math" w:hAnsi="Cambria Math" w:cs="宋体"/>
                  <w:i/>
                </w:rPr>
              </m:ctrlPr>
            </m:e>
            <m:sub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F2</m:t>
              </m:r>
              <m:ctrlPr>
                <w:rPr>
                  <w:rFonts w:ascii="Cambria Math" w:hAnsi="Cambria Math" w:cs="宋体"/>
                  <w:i/>
                </w:rPr>
              </m:ctrlPr>
            </m:sub>
          </m:sSub>
          <m:r>
            <m:rPr/>
            <w:rPr>
              <w:rFonts w:hint="default" w:ascii="Cambria Math" w:hAnsi="Cambria Math" w:cs="宋体"/>
              <w:lang w:val="en-US" w:eastAsia="zh-CN"/>
            </w:rPr>
            <m:t>+</m:t>
          </m:r>
          <m:f>
            <m:fPr>
              <m:ctrlPr>
                <w:rPr>
                  <w:rFonts w:ascii="Cambria Math" w:hAnsi="Cambria Math" w:cs="宋体"/>
                  <w:i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3</m:t>
              </m:r>
              <m:ctrlPr>
                <w:rPr>
                  <w:rFonts w:ascii="Cambria Math" w:hAnsi="Cambria Math" w:cs="宋体"/>
                  <w:i/>
                </w:rPr>
              </m:ctrlPr>
            </m:num>
            <m:den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5</m:t>
              </m:r>
              <m:ctrlPr>
                <w:rPr>
                  <w:rFonts w:ascii="Cambria Math" w:hAnsi="Cambria Math" w:cs="宋体"/>
                  <w:i/>
                </w:rPr>
              </m:ctrlPr>
            </m:den>
          </m:f>
          <m:sSub>
            <m:sSubPr>
              <m:ctrlPr>
                <w:rPr>
                  <w:rFonts w:ascii="Cambria Math" w:hAnsi="Cambria Math" w:cs="宋体"/>
                  <w:i/>
                </w:rPr>
              </m:ctrlPr>
            </m:sSubPr>
            <m:e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N</m:t>
              </m:r>
              <m:ctrlPr>
                <w:rPr>
                  <w:rFonts w:ascii="Cambria Math" w:hAnsi="Cambria Math" w:cs="宋体"/>
                  <w:i/>
                </w:rPr>
              </m:ctrlPr>
            </m:e>
            <m:sub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F3</m:t>
              </m:r>
              <m:ctrlPr>
                <w:rPr>
                  <w:rFonts w:ascii="Cambria Math" w:hAnsi="Cambria Math" w:cs="宋体"/>
                  <w:i/>
                </w:rPr>
              </m:ctrlPr>
            </m:sub>
          </m:sSub>
          <m:r>
            <m:rPr/>
            <w:rPr>
              <w:rFonts w:hint="default" w:ascii="Cambria Math" w:hAnsi="Cambria Math" w:cs="宋体"/>
              <w:lang w:val="en-US" w:eastAsia="zh-CN"/>
            </w:rPr>
            <m:t>+</m:t>
          </m:r>
          <m:f>
            <m:fPr>
              <m:ctrlPr>
                <w:rPr>
                  <w:rFonts w:ascii="Cambria Math" w:hAnsi="Cambria Math" w:cs="宋体"/>
                  <w:i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6</m:t>
              </m:r>
              <m:ctrlPr>
                <w:rPr>
                  <w:rFonts w:ascii="Cambria Math" w:hAnsi="Cambria Math" w:cs="宋体"/>
                  <w:i/>
                </w:rPr>
              </m:ctrlPr>
            </m:num>
            <m:den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5</m:t>
              </m:r>
              <m:ctrlPr>
                <w:rPr>
                  <w:rFonts w:ascii="Cambria Math" w:hAnsi="Cambria Math" w:cs="宋体"/>
                  <w:i/>
                </w:rPr>
              </m:ctrlPr>
            </m:den>
          </m:f>
          <m:sSub>
            <m:sSubPr>
              <m:ctrlPr>
                <w:rPr>
                  <w:rFonts w:ascii="Cambria Math" w:hAnsi="Cambria Math" w:cs="宋体"/>
                  <w:i/>
                </w:rPr>
              </m:ctrlPr>
            </m:sSubPr>
            <m:e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N</m:t>
              </m:r>
              <m:ctrlPr>
                <w:rPr>
                  <w:rFonts w:ascii="Cambria Math" w:hAnsi="Cambria Math" w:cs="宋体"/>
                  <w:i/>
                </w:rPr>
              </m:ctrlPr>
            </m:e>
            <m:sub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F4</m:t>
              </m:r>
              <m:ctrlPr>
                <w:rPr>
                  <w:rFonts w:ascii="Cambria Math" w:hAnsi="Cambria Math" w:cs="宋体"/>
                  <w:i/>
                </w:rPr>
              </m:ctrlPr>
            </m:sub>
          </m:sSub>
          <m:r>
            <w:rPr>
              <w:rFonts w:hint="default" w:ascii="Cambria Math" w:hAnsi="Cambria Math" w:cs="Cambria Math"/>
            </w:rPr>
            <m:t>≤</m:t>
          </m:r>
          <m:f>
            <m:fPr>
              <m:ctrlPr>
                <w:rPr>
                  <w:rFonts w:ascii="Cambria Math" w:hAnsi="Cambria Math" w:cs="宋体"/>
                  <w:i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lang w:val="en-US" w:eastAsia="zh-CN"/>
                </w:rPr>
                <m:t>1</m:t>
              </m:r>
              <m:ctrlPr>
                <w:rPr>
                  <w:rFonts w:ascii="Cambria Math" w:hAnsi="Cambria Math" w:cs="宋体"/>
                  <w:i/>
                </w:rPr>
              </m:ctrlPr>
            </m:num>
            <m:den>
              <m:r>
                <m:rPr/>
                <w:rPr>
                  <w:rFonts w:ascii="Cambria Math" w:hAnsi="Cambria Math" w:cs="宋体"/>
                </w:rPr>
                <m:t>α</m:t>
              </m:r>
              <m:ctrlPr>
                <w:rPr>
                  <w:rFonts w:ascii="Cambria Math" w:hAnsi="Cambria Math" w:cs="宋体"/>
                  <w:i/>
                </w:rPr>
              </m:ctrlPr>
            </m:den>
          </m:f>
        </m:oMath>
      </m:oMathPara>
    </w:p>
    <w:p w14:paraId="042FDE6B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2.主要房间材料用量与承载率核算（示例）：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46"/>
        <w:gridCol w:w="947"/>
        <w:gridCol w:w="1068"/>
        <w:gridCol w:w="826"/>
        <w:gridCol w:w="947"/>
        <w:gridCol w:w="947"/>
        <w:gridCol w:w="947"/>
        <w:gridCol w:w="947"/>
        <w:gridCol w:w="947"/>
      </w:tblGrid>
      <w:tr w14:paraId="6471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</w:tcPr>
          <w:p w14:paraId="7766974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房间类型</w:t>
            </w:r>
          </w:p>
        </w:tc>
        <w:tc>
          <w:tcPr>
            <w:tcW w:w="947" w:type="dxa"/>
          </w:tcPr>
          <w:p w14:paraId="16890AA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房间面积(m²)</w:t>
            </w:r>
          </w:p>
        </w:tc>
        <w:tc>
          <w:tcPr>
            <w:tcW w:w="1068" w:type="dxa"/>
          </w:tcPr>
          <w:p w14:paraId="12C87F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材料类型</w:t>
            </w:r>
          </w:p>
        </w:tc>
        <w:tc>
          <w:tcPr>
            <w:tcW w:w="826" w:type="dxa"/>
          </w:tcPr>
          <w:p w14:paraId="5FA582B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污染物释放率等级</w:t>
            </w:r>
          </w:p>
        </w:tc>
        <w:tc>
          <w:tcPr>
            <w:tcW w:w="947" w:type="dxa"/>
          </w:tcPr>
          <w:p w14:paraId="1B84FC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材料面积(m²)</w:t>
            </w:r>
          </w:p>
        </w:tc>
        <w:tc>
          <w:tcPr>
            <w:tcW w:w="947" w:type="dxa"/>
          </w:tcPr>
          <w:p w14:paraId="5D54C6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面积承载率(N)</w:t>
            </w:r>
          </w:p>
        </w:tc>
        <w:tc>
          <w:tcPr>
            <w:tcW w:w="947" w:type="dxa"/>
          </w:tcPr>
          <w:p w14:paraId="4745F5A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加权和</w:t>
            </w:r>
          </w:p>
        </w:tc>
        <w:tc>
          <w:tcPr>
            <w:tcW w:w="947" w:type="dxa"/>
          </w:tcPr>
          <w:p w14:paraId="4EBBA8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温度修正后限值(1/α)</w:t>
            </w:r>
          </w:p>
        </w:tc>
        <w:tc>
          <w:tcPr>
            <w:tcW w:w="947" w:type="dxa"/>
          </w:tcPr>
          <w:p w14:paraId="6A231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0"/>
                <w:szCs w:val="22"/>
              </w:rPr>
              <w:t>判定</w:t>
            </w:r>
          </w:p>
        </w:tc>
      </w:tr>
      <w:tr w14:paraId="3311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Merge w:val="restart"/>
          </w:tcPr>
          <w:p w14:paraId="76EE6EC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标准办公室</w:t>
            </w:r>
          </w:p>
        </w:tc>
        <w:tc>
          <w:tcPr>
            <w:tcW w:w="947" w:type="dxa"/>
            <w:vMerge w:val="restart"/>
          </w:tcPr>
          <w:p w14:paraId="6CDAFBA5">
            <w:pPr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</w:p>
          <w:p w14:paraId="75B25AD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1068" w:type="dxa"/>
          </w:tcPr>
          <w:p w14:paraId="011F8B1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木地板</w:t>
            </w:r>
          </w:p>
        </w:tc>
        <w:tc>
          <w:tcPr>
            <w:tcW w:w="826" w:type="dxa"/>
          </w:tcPr>
          <w:p w14:paraId="313E1E3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F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47" w:type="dxa"/>
          </w:tcPr>
          <w:p w14:paraId="2468D59B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947" w:type="dxa"/>
          </w:tcPr>
          <w:p w14:paraId="7C35847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0.90</w:t>
            </w:r>
          </w:p>
        </w:tc>
        <w:tc>
          <w:tcPr>
            <w:tcW w:w="947" w:type="dxa"/>
            <w:vMerge w:val="restart"/>
          </w:tcPr>
          <w:p w14:paraId="0DE5E683">
            <w:pPr>
              <w:spacing w:line="36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7818AF55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36</w:t>
            </w:r>
          </w:p>
        </w:tc>
        <w:tc>
          <w:tcPr>
            <w:tcW w:w="947" w:type="dxa"/>
            <w:vMerge w:val="restart"/>
          </w:tcPr>
          <w:p w14:paraId="6CF7C9E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6CE93036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0.65</w:t>
            </w:r>
          </w:p>
        </w:tc>
        <w:tc>
          <w:tcPr>
            <w:tcW w:w="947" w:type="dxa"/>
            <w:vMerge w:val="restart"/>
          </w:tcPr>
          <w:p w14:paraId="4A1E901F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  <w:p w14:paraId="5EC87013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合格</w:t>
            </w:r>
          </w:p>
        </w:tc>
      </w:tr>
      <w:tr w14:paraId="65E6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46" w:type="dxa"/>
            <w:vMerge w:val="continue"/>
            <w:tcBorders/>
          </w:tcPr>
          <w:p w14:paraId="41CA964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47" w:type="dxa"/>
            <w:vMerge w:val="continue"/>
            <w:tcBorders/>
          </w:tcPr>
          <w:p w14:paraId="4DF3416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68" w:type="dxa"/>
          </w:tcPr>
          <w:p w14:paraId="0390DF8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内墙涂料</w:t>
            </w:r>
          </w:p>
        </w:tc>
        <w:tc>
          <w:tcPr>
            <w:tcW w:w="826" w:type="dxa"/>
          </w:tcPr>
          <w:p w14:paraId="3324100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F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947" w:type="dxa"/>
          </w:tcPr>
          <w:p w14:paraId="1A2C2B4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135</w:t>
            </w:r>
          </w:p>
        </w:tc>
        <w:tc>
          <w:tcPr>
            <w:tcW w:w="947" w:type="dxa"/>
          </w:tcPr>
          <w:p w14:paraId="14EBA020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2.7</w:t>
            </w:r>
          </w:p>
        </w:tc>
        <w:tc>
          <w:tcPr>
            <w:tcW w:w="947" w:type="dxa"/>
            <w:vMerge w:val="continue"/>
            <w:tcBorders/>
          </w:tcPr>
          <w:p w14:paraId="1B5E7276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/>
          </w:tcPr>
          <w:p w14:paraId="1704D161">
            <w:pPr>
              <w:spacing w:line="360" w:lineRule="auto"/>
              <w:jc w:val="center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vMerge w:val="continue"/>
            <w:tcBorders/>
          </w:tcPr>
          <w:p w14:paraId="725EA6F9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  <w:tr w14:paraId="4744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6" w:type="dxa"/>
            <w:vMerge w:val="continue"/>
            <w:tcBorders/>
          </w:tcPr>
          <w:p w14:paraId="1AEAFD85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47" w:type="dxa"/>
            <w:vMerge w:val="continue"/>
            <w:tcBorders/>
          </w:tcPr>
          <w:p w14:paraId="0F74A321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1068" w:type="dxa"/>
          </w:tcPr>
          <w:p w14:paraId="4FC17C7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木质家具</w:t>
            </w:r>
          </w:p>
        </w:tc>
        <w:tc>
          <w:tcPr>
            <w:tcW w:w="826" w:type="dxa"/>
          </w:tcPr>
          <w:p w14:paraId="6CB9B8EC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F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947" w:type="dxa"/>
          </w:tcPr>
          <w:p w14:paraId="21DF4F34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947" w:type="dxa"/>
          </w:tcPr>
          <w:p w14:paraId="2D7F8763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</w:rPr>
              <w:t>0.60</w:t>
            </w:r>
          </w:p>
        </w:tc>
        <w:tc>
          <w:tcPr>
            <w:tcW w:w="947" w:type="dxa"/>
            <w:vMerge w:val="continue"/>
            <w:tcBorders/>
          </w:tcPr>
          <w:p w14:paraId="78CFA6F2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47" w:type="dxa"/>
            <w:vMerge w:val="continue"/>
            <w:tcBorders/>
          </w:tcPr>
          <w:p w14:paraId="3F8A8D56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  <w:tc>
          <w:tcPr>
            <w:tcW w:w="947" w:type="dxa"/>
            <w:vMerge w:val="continue"/>
            <w:tcBorders/>
          </w:tcPr>
          <w:p w14:paraId="7AF21BFA">
            <w:pPr>
              <w:spacing w:line="360" w:lineRule="auto"/>
              <w:jc w:val="center"/>
              <w:rPr>
                <w:rFonts w:hint="eastAsia" w:ascii="宋体" w:hAnsi="宋体" w:eastAsia="宋体" w:cs="宋体"/>
                <w:vertAlign w:val="baseline"/>
              </w:rPr>
            </w:pPr>
          </w:p>
        </w:tc>
      </w:tr>
    </w:tbl>
    <w:p w14:paraId="5A0821BA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注：F1级材料因其释放率极低，不计入加权和，优先选用可有效降低污染负荷。</w:t>
      </w:r>
    </w:p>
    <w:p w14:paraId="6C6D323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五、材料进场与检测要求</w:t>
      </w:r>
    </w:p>
    <w:p w14:paraId="5C60655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1.资料复核：材料进场时，必须复核其型式检验报告、出厂合格证。检验报告内容应包括本设计说明第三、四条要求的污染物释放率等级或有毒有害物质含量数据。</w:t>
      </w:r>
    </w:p>
    <w:p w14:paraId="7327711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2.抽样复检：单类装修材料使用面积大于500m²时，应按JGJ/T436-2018第3.3.3条的规定进行进场抽检复验。复验不合格的材料不得用于工程。</w:t>
      </w:r>
    </w:p>
    <w:p w14:paraId="4F9A219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3.检测报告内容：检测报告应至少包含样品名称、生产厂家、规格型号、检验依据、检验项目（甲醛、苯、甲苯、二甲苯、TVOC等）、检验结果及结论，并加盖CMA/CNAS章。</w:t>
      </w:r>
    </w:p>
    <w:p w14:paraId="6845C12A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六、施工过程污染控制要求</w:t>
      </w:r>
    </w:p>
    <w:p w14:paraId="5A8F946F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1.施工辅助材料：墙体用底漆、防腐涂料、防水涂料、腻子、各类胶粘剂等，其有害物限量必须符合本说明第三条第2款的要求。</w:t>
      </w:r>
    </w:p>
    <w:p w14:paraId="0A2BF948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2.禁用要求：</w:t>
      </w:r>
    </w:p>
    <w:p w14:paraId="43D1914E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严禁使用苯、工业苯、石油苯、重质苯及混苯作为稀释剂和溶剂。</w:t>
      </w:r>
    </w:p>
    <w:p w14:paraId="1E16EAF0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严禁使用以甲醛为原料的胶粘剂。</w:t>
      </w:r>
    </w:p>
    <w:p w14:paraId="599F9F7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严禁在室内使用有机溶剂清洗施工、保洁用具。</w:t>
      </w:r>
    </w:p>
    <w:p w14:paraId="2115C84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3.过程管理：涂料、胶粘剂等使用后应及时封闭存放，废料及时清出现场。</w:t>
      </w:r>
    </w:p>
    <w:p w14:paraId="726CF5D5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七、室内空气质量验收</w:t>
      </w:r>
    </w:p>
    <w:p w14:paraId="6516BA3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1.检测时机：装饰装修工程完工至少7天后，工程交付使用前进行。</w:t>
      </w:r>
    </w:p>
    <w:p w14:paraId="56FE1691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2.采样条件：采样前，关闭门窗、空气净化设备及新风系统至少12小时，采样时保持关闭状态。使用空调的室内环境，保持空调正常运转。</w:t>
      </w:r>
    </w:p>
    <w:p w14:paraId="5B1257F2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3.检测指标：甲醛、苯、甲苯、二甲苯、TVOC、氨、氨。</w:t>
      </w:r>
    </w:p>
    <w:p w14:paraId="3C062F7D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4.结果判定：检测结果应符合GB/T18883-2022及本工程设定的室内空气质量目标等级要求。当检测结果不符合要求时，应进行污染源排查与治理，并加倍抽样复检，直至合格。</w:t>
      </w:r>
    </w:p>
    <w:p w14:paraId="2E4AA104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/>
          <w:b/>
          <w:bCs/>
          <w:sz w:val="28"/>
          <w:szCs w:val="36"/>
        </w:rPr>
        <w:t>八、禁烟要求</w:t>
      </w:r>
    </w:p>
    <w:p w14:paraId="412FD9C7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为保障室内空气质量，根据《室内空气质量标准》GB/T18883-2022的原则要求及健康管理需要：</w:t>
      </w:r>
    </w:p>
    <w:p w14:paraId="503437D9">
      <w:pPr>
        <w:spacing w:line="360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1.本建筑室内所有区域（包括办公室、会议室、走廊、楼梯间、卫生间等）及建筑主出入口处禁止吸烟。</w:t>
      </w:r>
    </w:p>
    <w:p w14:paraId="7AD0BAC3">
      <w:pPr>
        <w:spacing w:line="36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2.应在建筑主出入口处、大堂、电梯厅、走廊等醒目位置设置统一的禁烟标识，并公布监督举报电话。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D59F8"/>
    <w:rsid w:val="61AD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2026-03-20T14:39:00Z</dcterms:created>
  <dc:creator>蜗</dc:creator>
  <cp:lastModifiedBy>蜗</cp:lastModifiedBy>
  <dcterms:modified xsi:type="dcterms:W3CDTF">2026-03-20T15:09:10Z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A47D8C13C8B945909A2FA287C4C352F1_11</vt:lpwstr>
  </property>
  <property fmtid="{D5CDD505-2E9C-101B-9397-08002B2CF9AE}" pid="4" name="KSOTemplateDocerSaveRecord">
    <vt:lpwstr>eyJoZGlkIjoiYzNhOTBiNTA2YjkyMzk5MTdmN2RhYWUxOTk0YzVkMzIiLCJ1c2VySWQiOiI4Mjk5NzI2MjEifQ==</vt:lpwstr>
  </property>
</Properties>
</file>