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DC2E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可再循环材料和可再利用材料用量计算书</w:t>
      </w:r>
    </w:p>
    <w:p w14:paraId="6E140F87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sz w:val="24"/>
          <w:szCs w:val="24"/>
        </w:rPr>
        <w:t>一、计算原则与范围</w:t>
      </w:r>
      <w:bookmarkEnd w:id="0"/>
    </w:p>
    <w:p w14:paraId="41511E94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sz w:val="24"/>
          <w:szCs w:val="24"/>
        </w:rPr>
        <w:t>（一）计算原则</w:t>
      </w:r>
      <w:bookmarkEnd w:id="1"/>
    </w:p>
    <w:p w14:paraId="60ED1641">
      <w:pPr>
        <w:numPr>
          <w:numId w:val="0"/>
        </w:num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用量统计以设计图纸标注的净用量、现场实际用量为准，优先采用图纸核算值，图纸未明确的按现场验收记录核算；</w:t>
      </w:r>
    </w:p>
    <w:p w14:paraId="160FAB4E">
      <w:pPr>
        <w:numPr>
          <w:numId w:val="0"/>
        </w:num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比例计算以“（可再循环材料用量+可再利用材料用量）÷ 项目所有建筑材料总重量 × 100%”为核心标准，分别核算两类材料用量及整体占比；</w:t>
      </w:r>
    </w:p>
    <w:p w14:paraId="298EFB05">
      <w:pPr>
        <w:numPr>
          <w:numId w:val="0"/>
        </w:num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统计范围涵盖项目主体结构、围护结构、装修及景观工程所用相关材料，不含临时施工材料、配套设施耗材（如管线、灯具等小型耗材）；</w:t>
      </w:r>
    </w:p>
    <w:p w14:paraId="53AD259D">
      <w:pPr>
        <w:numPr>
          <w:numId w:val="0"/>
        </w:numPr>
        <w:spacing w:before="120" w:after="120" w:line="288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可再循环、可再利用材料用量单独统计，避免重复核算，确保数据精准。</w:t>
      </w:r>
    </w:p>
    <w:p w14:paraId="139D37F9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sz w:val="24"/>
          <w:szCs w:val="24"/>
        </w:rPr>
        <w:t>（二）统计范围</w:t>
      </w:r>
      <w:bookmarkEnd w:id="2"/>
    </w:p>
    <w:p w14:paraId="70943534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本项目为全装配式混凝土框架结构，统计范围涵盖茶语工坊（公共核心）及8个叠翠山房居住簇群，具体包括可再循环材料、可再利用材料两大类，涵盖预制构件、围护墙体、装修、景观等所有相关应用部位。</w:t>
      </w:r>
    </w:p>
    <w:p w14:paraId="4B027F98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sz w:val="24"/>
          <w:szCs w:val="24"/>
        </w:rPr>
        <w:t>二、可再循环材料与可再利用材料界定标准</w:t>
      </w:r>
      <w:bookmarkEnd w:id="3"/>
    </w:p>
    <w:p w14:paraId="4B1A447C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sz w:val="24"/>
          <w:szCs w:val="24"/>
        </w:rPr>
        <w:t>（一）可再循环材料</w:t>
      </w:r>
      <w:bookmarkEnd w:id="4"/>
    </w:p>
    <w:p w14:paraId="6D8FB186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指在项目使用寿命结束后，可通过回收、加工、再加工等方式，重新用于建筑或其他领域，且性能符合相关标准的材料，本项目主要包括：</w:t>
      </w:r>
    </w:p>
    <w:p w14:paraId="016CBB5E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金属类：高强钢筋（HRB400E）、高强钢材（Q355B）、高强度螺栓及配套连接件；</w:t>
      </w:r>
    </w:p>
    <w:p w14:paraId="3733A3E9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混凝土类：再生骨料混凝土（以建筑拆除废混凝土、碎石料为原料）、再生透水砖；</w:t>
      </w:r>
    </w:p>
    <w:p w14:paraId="4D7F6D06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其他类：玻璃（节能中空玻璃）、铝合金型材（门窗、装饰构件）。</w:t>
      </w:r>
    </w:p>
    <w:p w14:paraId="201C2CB2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5" w:name="heading_5"/>
      <w:r>
        <w:rPr>
          <w:rFonts w:hint="eastAsia" w:ascii="宋体" w:hAnsi="宋体" w:eastAsia="宋体" w:cs="宋体"/>
          <w:b/>
          <w:sz w:val="24"/>
          <w:szCs w:val="24"/>
        </w:rPr>
        <w:t>（二）可再利用材料</w:t>
      </w:r>
      <w:bookmarkEnd w:id="5"/>
    </w:p>
    <w:p w14:paraId="64B9D5A8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指无需经过加工或仅需简单修复、翻新，可直接再次用于本项目或其他项目的材料，本项目主要包括：</w:t>
      </w:r>
    </w:p>
    <w:p w14:paraId="1FC5CBD8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本土天然材料：武夷山本地毛石（挡墙、基础砌筑）、杉木、竹材（装修、景观构架）；</w:t>
      </w:r>
    </w:p>
    <w:p w14:paraId="3D926A62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可复用预制构件：备用预制小型构件（预制女儿墙片段、小型盖板）；</w:t>
      </w:r>
    </w:p>
    <w:p w14:paraId="4E666EEA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其他类：回收再利用的建筑模板、脚手架管材（本项目临时周转材料，可重复利用）。</w:t>
      </w:r>
    </w:p>
    <w:p w14:paraId="2D9D2A94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6" w:name="heading_6"/>
      <w:r>
        <w:rPr>
          <w:rFonts w:hint="eastAsia" w:ascii="宋体" w:hAnsi="宋体" w:eastAsia="宋体" w:cs="宋体"/>
          <w:b/>
          <w:sz w:val="24"/>
          <w:szCs w:val="24"/>
        </w:rPr>
        <w:t>三、可再循环材料和可再利用材料用量统计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3D9413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9004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材料类别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F750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具体材料名称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6337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6286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应用部位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3644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用量（吨）</w:t>
            </w:r>
          </w:p>
        </w:tc>
      </w:tr>
      <w:tr w14:paraId="28C50C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6B3D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可再循环材料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06DB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高强钢筋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AAC2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HRB400E（Φ12-Φ25）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24F7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预制构件、节点连接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AE23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186.5</w:t>
            </w:r>
          </w:p>
        </w:tc>
      </w:tr>
      <w:tr w14:paraId="6E233E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89F6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C616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高强钢材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D1C4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Q355B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7BCB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连接型钢、预埋件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8A20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78.3</w:t>
            </w:r>
          </w:p>
        </w:tc>
      </w:tr>
      <w:tr w14:paraId="40A6FD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060E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5A00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再生骨料混凝土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5085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C30-C40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16E1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预制构件、挡墙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59A2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920</w:t>
            </w:r>
          </w:p>
        </w:tc>
      </w:tr>
      <w:tr w14:paraId="717D6C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CFF0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9216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再生透水砖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CAF9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200×100×50mm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01E4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景观步道、场地铺装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862D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85.2</w:t>
            </w:r>
          </w:p>
        </w:tc>
      </w:tr>
      <w:tr w14:paraId="5539AD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541F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6E0B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铝合金型材+节能玻璃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9D40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定制规格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B1B1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门窗、采光顶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70A1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30</w:t>
            </w:r>
          </w:p>
        </w:tc>
      </w:tr>
      <w:tr w14:paraId="74C2BF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8FD6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可再循环材料小计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1731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EE87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90B9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B1FA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4DD463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134D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可再利用材料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B08A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本地毛石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E14C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天然规格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B4B4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挡墙、基础砌筑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8E46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280</w:t>
            </w:r>
          </w:p>
        </w:tc>
      </w:tr>
      <w:tr w14:paraId="485FE2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179F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35BF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本地杉木、竹材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4DCF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天然规格（经防腐处理）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2967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装修、景观构架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E270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120</w:t>
            </w:r>
          </w:p>
        </w:tc>
      </w:tr>
      <w:tr w14:paraId="252634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8C23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774C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可复用预制构件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3679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小型盖板、女儿墙片段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E1A0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辅助构件、修补替换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7DBF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20</w:t>
            </w:r>
          </w:p>
        </w:tc>
      </w:tr>
      <w:tr w14:paraId="10E96E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C4D8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可再利用材料小计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B010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94E9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D5E6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82A3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6F2265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96FB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可再循环+可再利用材料合计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E106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0FCA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1700</w:t>
            </w:r>
          </w:p>
        </w:tc>
      </w:tr>
      <w:tr w14:paraId="6ED220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50" w:type="dxa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15FF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项目所有建筑材料总重量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8B44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192D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3200</w:t>
            </w:r>
          </w:p>
        </w:tc>
      </w:tr>
    </w:tbl>
    <w:p w14:paraId="5FA3B0C0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7" w:name="heading_7"/>
      <w:r>
        <w:rPr>
          <w:rFonts w:hint="eastAsia" w:ascii="宋体" w:hAnsi="宋体" w:eastAsia="宋体" w:cs="宋体"/>
          <w:b/>
          <w:sz w:val="24"/>
          <w:szCs w:val="24"/>
        </w:rPr>
        <w:t>四、用量比例计算</w:t>
      </w:r>
      <w:bookmarkEnd w:id="7"/>
    </w:p>
    <w:p w14:paraId="43722701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可再循环材料用量比例 = 可再循环材料小计 ÷ 建筑材料总重量 × 100% = 1280 ÷ 3200 × 100% = 40.0%</w:t>
      </w:r>
    </w:p>
    <w:p w14:paraId="229099FB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可再利用材料用量比例 = 可再利用材料小计 ÷ 建筑材料总重量 × 100% = 420 ÷ 3200 × 100% = 13.125%</w:t>
      </w:r>
    </w:p>
    <w:p w14:paraId="5DADA992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可再循环与可再利用材料总比例 = （可再循环材料小计+可再利用材料小计）÷ 建筑材料总重量 × 100% = 1700 ÷ 3200 × 100% = 53.125%</w:t>
      </w:r>
    </w:p>
    <w:p w14:paraId="78B473DD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8" w:name="heading_8"/>
      <w:r>
        <w:rPr>
          <w:rFonts w:hint="eastAsia" w:ascii="宋体" w:hAnsi="宋体" w:eastAsia="宋体" w:cs="宋体"/>
          <w:b/>
          <w:sz w:val="24"/>
          <w:szCs w:val="24"/>
        </w:rPr>
        <w:t>五、计算结论</w:t>
      </w:r>
      <w:bookmarkEnd w:id="8"/>
    </w:p>
    <w:p w14:paraId="6F7CDA32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1.本项目严格按照绿色建筑与可循环利用相关标准，界定可再循环、可再利用材料范围，用量统计覆盖主体结构、装修、景观等全部位，计算过程规范、数据精准，符合相关规范要求；</w:t>
      </w:r>
    </w:p>
    <w:p w14:paraId="5BFD5283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2.本项目可再循环材料用量1280吨，占比40.0%；可再利用材料用量420吨，占比13.125%；两类材料总用量1700吨，总占比53.125%，充分践行“循环利用、低碳环保”的绿色建筑理念；</w:t>
      </w:r>
    </w:p>
    <w:p w14:paraId="75EDD826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各类可再循环、可再利用材料的应用，既实现了建筑废弃物资源化利用，减少了原生建材消耗，降低了碳排放与环境污染，又结合本土材料特色，保留了地域建筑风貌，同时降低了项目建设成本，契合项目“零碳共生”的设计核心，符合绿色建筑评价中资源循环利用的相关要求。</w:t>
      </w:r>
      <w:bookmarkStart w:id="9" w:name="_GoBack"/>
      <w:bookmarkEnd w:id="9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EAD1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DE2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FB81A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1703</Words>
  <Characters>1956</Characters>
  <TotalTime>2</TotalTime>
  <ScaleCrop>false</ScaleCrop>
  <LinksUpToDate>false</LinksUpToDate>
  <CharactersWithSpaces>2010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2026-03-23T16:58:00Z</dcterms:created>
  <dc:creator>Apache POI</dc:creator>
  <cp:lastModifiedBy>W</cp:lastModifiedBy>
  <dcterms:modified xsi:type="dcterms:W3CDTF">2026-03-23T17:00:31Z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eyJoZGlkIjoiOTJhNzYyOTExODZhYmYzMmIwNWVjZmQ0MTM3ODFkZDkiLCJ1c2VySWQiOiIzNzg4NTI0MjYifQ==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DD4E3772AC72485C971D8E00B326D903_12</vt:lpwstr>
  </property>
</Properties>
</file>