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="宋体"/>
          <w:kern w:val="0"/>
          <w:sz w:val="24"/>
          <w:szCs w:val="24"/>
        </w:rPr>
        <w:id w:val="64697543"/>
      </w:sdtPr>
      <w:sdtEndPr>
        <w:rPr>
          <w:rFonts w:ascii="Times New Roman" w:hAnsi="Times New Roman" w:cs="Times New Roman" w:eastAsiaTheme="minorEastAsia"/>
          <w:kern w:val="0"/>
          <w:sz w:val="24"/>
          <w:szCs w:val="24"/>
        </w:rPr>
      </w:sdtEndPr>
      <w:sdtContent>
        <w:p w14:paraId="1223BD3A">
          <w:pPr>
            <w:spacing w:before="234"/>
            <w:ind w:left="790" w:right="790"/>
            <w:jc w:val="center"/>
            <w:rPr>
              <w:rFonts w:ascii="宋体" w:hAnsi="宋体" w:eastAsia="宋体"/>
            </w:rPr>
          </w:pPr>
        </w:p>
        <w:p w14:paraId="001F1D0F">
          <w:pPr>
            <w:spacing w:before="234"/>
            <w:ind w:left="790" w:right="790"/>
            <w:jc w:val="center"/>
            <w:rPr>
              <w:rFonts w:asciiTheme="majorEastAsia" w:hAnsiTheme="majorEastAsia" w:eastAsiaTheme="majorEastAsia" w:cstheme="majorEastAsia"/>
              <w:sz w:val="36"/>
            </w:rPr>
          </w:pPr>
          <w:r>
            <w:rPr>
              <w:rFonts w:hint="eastAsia" w:asciiTheme="majorEastAsia" w:hAnsiTheme="majorEastAsia" w:eastAsiaTheme="majorEastAsia" w:cstheme="majorEastAsia"/>
              <w:sz w:val="36"/>
              <w:lang w:val="en-US" w:eastAsia="zh-CN"/>
            </w:rPr>
            <w:t>二阶永恒</w:t>
          </w:r>
          <w:r>
            <w:rPr>
              <w:rFonts w:hint="eastAsia" w:asciiTheme="majorEastAsia" w:hAnsiTheme="majorEastAsia" w:eastAsiaTheme="majorEastAsia" w:cstheme="majorEastAsia"/>
              <w:sz w:val="36"/>
            </w:rPr>
            <w:t>项目</w:t>
          </w:r>
        </w:p>
        <w:p w14:paraId="44AA8AC3">
          <w:pPr>
            <w:pStyle w:val="7"/>
            <w:rPr>
              <w:rFonts w:ascii="Calibri"/>
              <w:sz w:val="20"/>
            </w:rPr>
          </w:pPr>
        </w:p>
        <w:p w14:paraId="5D9A2B2A">
          <w:pPr>
            <w:ind w:right="790"/>
            <w:rPr>
              <w:rFonts w:ascii="黑体" w:eastAsia="黑体"/>
              <w:b/>
              <w:bCs/>
              <w:sz w:val="48"/>
            </w:rPr>
          </w:pPr>
        </w:p>
        <w:p w14:paraId="7E76C7B1">
          <w:pPr>
            <w:ind w:right="790"/>
            <w:rPr>
              <w:rFonts w:ascii="黑体" w:eastAsia="黑体"/>
              <w:b/>
              <w:bCs/>
              <w:sz w:val="48"/>
            </w:rPr>
          </w:pPr>
        </w:p>
        <w:p w14:paraId="2DD7BE8C">
          <w:pPr>
            <w:jc w:val="center"/>
            <w:rPr>
              <w:rFonts w:ascii="黑体" w:eastAsia="黑体"/>
              <w:b/>
              <w:bCs/>
              <w:sz w:val="48"/>
            </w:rPr>
          </w:pPr>
          <w:r>
            <w:rPr>
              <w:rFonts w:hint="eastAsia" w:ascii="黑体" w:eastAsia="黑体"/>
              <w:b/>
              <w:bCs/>
              <w:sz w:val="48"/>
            </w:rPr>
            <w:t>电梯与自动扶梯人流平衡计算分析报告</w:t>
          </w:r>
        </w:p>
        <w:p w14:paraId="48B5D467">
          <w:pPr>
            <w:spacing w:before="120" w:line="360" w:lineRule="auto"/>
            <w:jc w:val="center"/>
            <w:rPr>
              <w:rFonts w:ascii="宋体" w:hAnsi="宋体" w:eastAsia="宋体"/>
            </w:rPr>
          </w:pPr>
        </w:p>
        <w:p w14:paraId="02A26191">
          <w:pPr>
            <w:jc w:val="center"/>
            <w:rPr>
              <w:lang w:val="zh-CN"/>
            </w:rPr>
          </w:pPr>
        </w:p>
        <w:p w14:paraId="2A85AB9A">
          <w:pPr>
            <w:jc w:val="center"/>
            <w:rPr>
              <w:lang w:val="zh-CN"/>
            </w:rPr>
          </w:pPr>
        </w:p>
        <w:p w14:paraId="65150810">
          <w:pPr>
            <w:jc w:val="center"/>
            <w:rPr>
              <w:lang w:val="zh-CN"/>
            </w:rPr>
          </w:pPr>
        </w:p>
        <w:p w14:paraId="72E34BD7">
          <w:pPr>
            <w:rPr>
              <w:lang w:val="zh-CN"/>
            </w:rPr>
          </w:pPr>
        </w:p>
        <w:p w14:paraId="14E164E1">
          <w:pPr>
            <w:spacing w:before="120" w:line="360" w:lineRule="auto"/>
            <w:jc w:val="center"/>
            <w:rPr>
              <w:rFonts w:ascii="微软雅黑" w:hAnsi="微软雅黑" w:eastAsia="微软雅黑"/>
              <w:b/>
              <w:bCs/>
              <w:spacing w:val="60"/>
              <w:sz w:val="52"/>
            </w:rPr>
          </w:pPr>
        </w:p>
        <w:p w14:paraId="25E7C343">
          <w:pPr>
            <w:spacing w:before="120" w:line="360" w:lineRule="auto"/>
            <w:ind w:firstLine="1284"/>
            <w:jc w:val="center"/>
            <w:rPr>
              <w:rFonts w:ascii="微软雅黑" w:hAnsi="微软雅黑" w:eastAsia="微软雅黑"/>
              <w:b/>
              <w:bCs/>
              <w:spacing w:val="60"/>
              <w:sz w:val="52"/>
            </w:rPr>
          </w:pPr>
        </w:p>
        <w:p w14:paraId="473AABAB">
          <w:pPr>
            <w:spacing w:before="120" w:line="360" w:lineRule="auto"/>
            <w:rPr>
              <w:rFonts w:ascii="微软雅黑" w:hAnsi="微软雅黑" w:eastAsia="微软雅黑"/>
              <w:b/>
              <w:bCs/>
              <w:spacing w:val="60"/>
              <w:sz w:val="52"/>
            </w:rPr>
          </w:pPr>
        </w:p>
        <w:p w14:paraId="30D8A028">
          <w:pPr>
            <w:adjustRightInd w:val="0"/>
            <w:snapToGrid w:val="0"/>
            <w:spacing w:before="120"/>
            <w:rPr>
              <w:rFonts w:ascii="微软雅黑" w:hAnsi="微软雅黑" w:eastAsia="微软雅黑"/>
              <w:sz w:val="24"/>
            </w:rPr>
          </w:pPr>
        </w:p>
        <w:p w14:paraId="0184DAA1">
          <w:pPr>
            <w:pStyle w:val="7"/>
            <w:jc w:val="center"/>
            <w:rPr>
              <w:rFonts w:ascii="黑体" w:eastAsia="黑体"/>
              <w:sz w:val="30"/>
              <w:szCs w:val="30"/>
            </w:rPr>
          </w:pPr>
        </w:p>
        <w:p w14:paraId="60C3F986">
          <w:pPr>
            <w:pStyle w:val="7"/>
            <w:jc w:val="center"/>
            <w:rPr>
              <w:rFonts w:ascii="黑体" w:eastAsia="黑体"/>
              <w:sz w:val="30"/>
              <w:szCs w:val="30"/>
            </w:rPr>
          </w:pPr>
        </w:p>
        <w:p w14:paraId="59487BDF">
          <w:pPr>
            <w:pStyle w:val="7"/>
            <w:rPr>
              <w:rFonts w:ascii="黑体" w:eastAsia="黑体"/>
              <w:sz w:val="30"/>
              <w:szCs w:val="30"/>
            </w:rPr>
          </w:pPr>
        </w:p>
        <w:p w14:paraId="4CC4F86C">
          <w:pPr>
            <w:pStyle w:val="7"/>
            <w:jc w:val="center"/>
            <w:rPr>
              <w:rFonts w:ascii="黑体" w:eastAsia="黑体"/>
              <w:sz w:val="30"/>
              <w:szCs w:val="30"/>
            </w:rPr>
          </w:pPr>
        </w:p>
        <w:p w14:paraId="3B7B1BFB">
          <w:pPr>
            <w:pStyle w:val="7"/>
            <w:jc w:val="center"/>
            <w:rPr>
              <w:rFonts w:ascii="黑体" w:eastAsia="黑体"/>
              <w:sz w:val="30"/>
              <w:szCs w:val="30"/>
            </w:rPr>
          </w:pPr>
          <w:r>
            <w:rPr>
              <w:rFonts w:hint="eastAsia" w:ascii="黑体" w:eastAsia="黑体"/>
              <w:sz w:val="30"/>
              <w:szCs w:val="30"/>
            </w:rPr>
            <w:t>北京绿建软件股份有限公司</w:t>
          </w:r>
        </w:p>
        <w:p w14:paraId="7CED305D">
          <w:pPr>
            <w:adjustRightInd w:val="0"/>
            <w:snapToGrid w:val="0"/>
            <w:spacing w:before="120"/>
            <w:jc w:val="center"/>
            <w:rPr>
              <w:rFonts w:ascii="微软雅黑" w:hAnsi="微软雅黑" w:eastAsia="微软雅黑"/>
              <w:sz w:val="24"/>
            </w:rPr>
          </w:pPr>
          <w:r>
            <w:rPr>
              <w:rFonts w:ascii="Times New Roman" w:hAnsi="Times New Roman" w:eastAsia="黑体" w:cs="Times New Roman"/>
              <w:sz w:val="30"/>
              <w:szCs w:val="30"/>
            </w:rPr>
            <w:t>202</w:t>
          </w:r>
          <w:r>
            <w:rPr>
              <w:rFonts w:hint="eastAsia" w:ascii="Times New Roman" w:hAnsi="Times New Roman" w:eastAsia="黑体" w:cs="Times New Roman"/>
              <w:sz w:val="30"/>
              <w:szCs w:val="30"/>
              <w:lang w:val="en-US" w:eastAsia="zh-CN"/>
            </w:rPr>
            <w:t>6</w:t>
          </w:r>
          <w:r>
            <w:rPr>
              <w:rFonts w:ascii="Times New Roman" w:hAnsi="Times New Roman" w:eastAsia="黑体" w:cs="Times New Roman"/>
              <w:sz w:val="30"/>
              <w:szCs w:val="30"/>
            </w:rPr>
            <w:t xml:space="preserve"> 年 </w:t>
          </w:r>
          <w:r>
            <w:rPr>
              <w:rFonts w:hint="eastAsia" w:ascii="Times New Roman" w:hAnsi="Times New Roman" w:eastAsia="黑体" w:cs="Times New Roman"/>
              <w:sz w:val="30"/>
              <w:szCs w:val="30"/>
              <w:lang w:val="en-US" w:eastAsia="zh-CN"/>
            </w:rPr>
            <w:t>2</w:t>
          </w:r>
          <w:r>
            <w:rPr>
              <w:rFonts w:ascii="Times New Roman" w:hAnsi="Times New Roman" w:eastAsia="黑体" w:cs="Times New Roman"/>
              <w:sz w:val="30"/>
              <w:szCs w:val="30"/>
            </w:rPr>
            <w:t>月</w:t>
          </w:r>
        </w:p>
        <w:p w14:paraId="32656B3A">
          <w:pPr>
            <w:spacing w:before="120" w:line="360" w:lineRule="auto"/>
            <w:jc w:val="center"/>
            <w:rPr>
              <w:rFonts w:ascii="微软雅黑" w:hAnsi="微软雅黑" w:eastAsia="微软雅黑"/>
              <w:b/>
              <w:bCs/>
              <w:kern w:val="0"/>
              <w:sz w:val="36"/>
              <w:szCs w:val="36"/>
            </w:rPr>
          </w:pPr>
        </w:p>
        <w:p w14:paraId="77CF6B41">
          <w:pPr>
            <w:jc w:val="center"/>
            <w:rPr>
              <w:rFonts w:ascii="宋体" w:hAnsi="宋体" w:eastAsia="宋体"/>
            </w:rPr>
            <w:sectPr>
              <w:headerReference r:id="rId4" w:type="first"/>
              <w:headerReference r:id="rId3" w:type="default"/>
              <w:pgSz w:w="11906" w:h="16838"/>
              <w:pgMar w:top="1701" w:right="1417" w:bottom="1417" w:left="1701" w:header="851" w:footer="992" w:gutter="0"/>
              <w:pgNumType w:start="1"/>
              <w:cols w:space="425" w:num="1"/>
              <w:titlePg/>
              <w:docGrid w:type="lines" w:linePitch="312" w:charSpace="0"/>
            </w:sectPr>
          </w:pPr>
        </w:p>
        <w:sdt>
          <w:sdtPr>
            <w:rPr>
              <w:rFonts w:ascii="宋体" w:hAnsi="宋体" w:eastAsia="宋体"/>
              <w:sz w:val="32"/>
              <w:szCs w:val="32"/>
            </w:rPr>
            <w:id w:val="147454627"/>
            <w:docPartObj>
              <w:docPartGallery w:val="Table of Contents"/>
              <w:docPartUnique/>
            </w:docPartObj>
          </w:sdtPr>
          <w:sdtEndPr>
            <w:rPr>
              <w:rFonts w:ascii="Times New Roman" w:hAnsi="Times New Roman" w:eastAsia="微软雅黑" w:cs="Times New Roman"/>
              <w:kern w:val="0"/>
              <w:sz w:val="30"/>
              <w:szCs w:val="30"/>
            </w:rPr>
          </w:sdtEndPr>
          <w:sdtContent>
            <w:p w14:paraId="6B529EFC">
              <w:pPr>
                <w:jc w:val="center"/>
                <w:rPr>
                  <w:sz w:val="48"/>
                  <w:szCs w:val="48"/>
                </w:rPr>
              </w:pPr>
              <w:r>
                <w:rPr>
                  <w:rFonts w:ascii="宋体" w:hAnsi="宋体" w:eastAsia="宋体"/>
                  <w:sz w:val="48"/>
                  <w:szCs w:val="48"/>
                </w:rPr>
                <w:t>目</w:t>
              </w:r>
              <w:r>
                <w:rPr>
                  <w:rFonts w:hint="eastAsia" w:ascii="宋体" w:hAnsi="宋体" w:eastAsia="宋体"/>
                  <w:sz w:val="48"/>
                  <w:szCs w:val="48"/>
                </w:rPr>
                <w:t xml:space="preserve">  </w:t>
              </w:r>
              <w:r>
                <w:rPr>
                  <w:rFonts w:ascii="宋体" w:hAnsi="宋体" w:eastAsia="宋体"/>
                  <w:sz w:val="48"/>
                  <w:szCs w:val="48"/>
                </w:rPr>
                <w:t>录</w:t>
              </w:r>
            </w:p>
            <w:p w14:paraId="5BAA2BD9">
              <w:pPr>
                <w:pStyle w:val="12"/>
                <w:tabs>
                  <w:tab w:val="right" w:leader="dot" w:pos="8306"/>
                </w:tabs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rPr>
                  <w:rFonts w:ascii="Times New Roman" w:hAnsi="Times New Roman" w:eastAsia="微软雅黑" w:cs="Times New Roman"/>
                  <w:kern w:val="0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eastAsia="微软雅黑" w:cs="Times New Roman"/>
                  <w:kern w:val="0"/>
                  <w:sz w:val="30"/>
                  <w:szCs w:val="30"/>
                </w:rPr>
                <w:instrText xml:space="preserve">TOC \o "1-3" \h \u </w:instrText>
              </w:r>
              <w:r>
                <w:rPr>
                  <w:rFonts w:ascii="Times New Roman" w:hAnsi="Times New Roman" w:eastAsia="微软雅黑" w:cs="Times New Roman"/>
                  <w:kern w:val="0"/>
                  <w:sz w:val="30"/>
                  <w:szCs w:val="30"/>
                </w:rPr>
                <w:fldChar w:fldCharType="separate"/>
              </w:r>
              <w:r>
                <w:fldChar w:fldCharType="begin"/>
              </w:r>
              <w:r>
                <w:instrText xml:space="preserve"> HYPERLINK \l "_Toc15138"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  <w:lang w:val="zh-CN"/>
                </w:rPr>
                <w:t>1.项目概况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_Toc15138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1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 w14:paraId="2A60F8E1">
              <w:pPr>
                <w:pStyle w:val="12"/>
                <w:tabs>
                  <w:tab w:val="right" w:leader="dot" w:pos="8306"/>
                </w:tabs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"_Toc20921"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2.评价依据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_Toc20921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1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 w14:paraId="6538896E">
              <w:pPr>
                <w:pStyle w:val="12"/>
                <w:tabs>
                  <w:tab w:val="right" w:leader="dot" w:pos="8306"/>
                </w:tabs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"_Toc846"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  <w:lang w:val="zh-CN"/>
                </w:rPr>
                <w:t>3.计算标准参数设定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_Toc846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1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 w14:paraId="44FD3BEB">
              <w:pPr>
                <w:pStyle w:val="12"/>
                <w:tabs>
                  <w:tab w:val="right" w:leader="dot" w:pos="8306"/>
                </w:tabs>
                <w:ind w:firstLine="420" w:firstLineChars="200"/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"_Toc11630"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3.1计算公式及说明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_Toc11630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1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 w14:paraId="41F082FC">
              <w:pPr>
                <w:pStyle w:val="12"/>
                <w:tabs>
                  <w:tab w:val="right" w:leader="dot" w:pos="8306"/>
                </w:tabs>
                <w:ind w:firstLine="420" w:firstLineChars="200"/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"_Toc21922"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3.2 标准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_Toc21922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2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 w14:paraId="42DDC481">
              <w:pPr>
                <w:pStyle w:val="12"/>
                <w:tabs>
                  <w:tab w:val="right" w:leader="dot" w:pos="8306"/>
                </w:tabs>
                <w:ind w:firstLine="420" w:firstLineChars="200"/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"_Toc32700"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3.3 计算参数设定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_Toc32700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2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 w14:paraId="50C8633A">
              <w:pPr>
                <w:pStyle w:val="12"/>
                <w:tabs>
                  <w:tab w:val="right" w:leader="dot" w:pos="8306"/>
                </w:tabs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"_Toc5625"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  <w:lang w:val="zh-CN"/>
                </w:rPr>
                <w:t>4.电梯运行周期计算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_Toc5625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4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 w14:paraId="32938429">
              <w:pPr>
                <w:pStyle w:val="12"/>
                <w:tabs>
                  <w:tab w:val="right" w:leader="dot" w:pos="8306"/>
                </w:tabs>
                <w:ind w:firstLine="420" w:firstLineChars="200"/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"_Toc24470"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4.1电梯技术条件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_Toc24470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4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 w14:paraId="6041D56F">
              <w:pPr>
                <w:pStyle w:val="12"/>
                <w:tabs>
                  <w:tab w:val="right" w:leader="dot" w:pos="8306"/>
                </w:tabs>
                <w:ind w:firstLine="420" w:firstLineChars="200"/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"_Toc16374"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4.2电梯运行周期计算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_Toc16374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4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 w14:paraId="58A5FA89">
              <w:pPr>
                <w:pStyle w:val="12"/>
                <w:tabs>
                  <w:tab w:val="right" w:leader="dot" w:pos="8306"/>
                </w:tabs>
                <w:rPr>
                  <w:rFonts w:ascii="Times New Roman" w:hAnsi="Times New Roman" w:cs="Times New Roman"/>
                  <w:sz w:val="30"/>
                  <w:szCs w:val="30"/>
                </w:rPr>
              </w:pPr>
              <w:r>
                <w:fldChar w:fldCharType="begin"/>
              </w:r>
              <w:r>
                <w:instrText xml:space="preserve"> HYPERLINK \l "_Toc160" </w:instrText>
              </w:r>
              <w: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5</w:t>
              </w:r>
              <w:r>
                <w:rPr>
                  <w:rFonts w:ascii="Times New Roman" w:hAnsi="Times New Roman" w:cs="Times New Roman"/>
                  <w:sz w:val="30"/>
                  <w:szCs w:val="30"/>
                  <w:lang w:val="zh-CN"/>
                </w:rPr>
                <w:t>.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结论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ab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begin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instrText xml:space="preserve"> PAGEREF _Toc160 </w:instrTex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separate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t>5</w:t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  <w:r>
                <w:rPr>
                  <w:rFonts w:ascii="Times New Roman" w:hAnsi="Times New Roman" w:cs="Times New Roman"/>
                  <w:sz w:val="30"/>
                  <w:szCs w:val="30"/>
                </w:rPr>
                <w:fldChar w:fldCharType="end"/>
              </w:r>
            </w:p>
            <w:p w14:paraId="7289333B">
              <w:pPr>
                <w:widowControl/>
                <w:spacing w:before="156" w:beforeLines="50" w:after="156" w:afterLines="50" w:line="400" w:lineRule="exact"/>
                <w:jc w:val="left"/>
                <w:rPr>
                  <w:rFonts w:ascii="Times New Roman" w:hAnsi="Times New Roman" w:eastAsia="微软雅黑" w:cs="Times New Roman"/>
                  <w:kern w:val="0"/>
                  <w:sz w:val="30"/>
                  <w:szCs w:val="30"/>
                </w:rPr>
              </w:pPr>
              <w:r>
                <w:rPr>
                  <w:rFonts w:ascii="Times New Roman" w:hAnsi="Times New Roman" w:eastAsia="微软雅黑" w:cs="Times New Roman"/>
                  <w:kern w:val="0"/>
                  <w:sz w:val="30"/>
                  <w:szCs w:val="30"/>
                </w:rPr>
                <w:fldChar w:fldCharType="end"/>
              </w:r>
            </w:p>
          </w:sdtContent>
        </w:sdt>
        <w:p w14:paraId="147F59FE">
          <w:pPr>
            <w:widowControl/>
            <w:jc w:val="left"/>
            <w:rPr>
              <w:rFonts w:ascii="微软雅黑" w:hAnsi="微软雅黑" w:eastAsia="微软雅黑"/>
              <w:kern w:val="0"/>
              <w:sz w:val="24"/>
            </w:rPr>
          </w:pPr>
        </w:p>
        <w:p w14:paraId="74AC2CFA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0C466C82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04BD6A1B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719C4E18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146CE914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31366F92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1062FC93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40804049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132F02CB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0D8AEA29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2545D427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02E8AAEC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32F1CF8A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01B3B6A2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667212A1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4141AA05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0F245225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7F6FFE20">
          <w:pPr>
            <w:widowControl/>
            <w:jc w:val="left"/>
            <w:rPr>
              <w:rFonts w:ascii="宋体" w:hAnsi="宋体" w:eastAsia="宋体" w:cs="Times New Roman"/>
              <w:szCs w:val="24"/>
            </w:rPr>
          </w:pPr>
        </w:p>
        <w:p w14:paraId="067503AB">
          <w:pPr>
            <w:pStyle w:val="2"/>
            <w:tabs>
              <w:tab w:val="left" w:pos="6765"/>
              <w:tab w:val="right" w:pos="8306"/>
            </w:tabs>
            <w:spacing w:before="312" w:beforeLines="100" w:after="312" w:afterLines="100" w:line="400" w:lineRule="exact"/>
            <w:rPr>
              <w:rFonts w:ascii="Times New Roman" w:hAnsi="Times New Roman" w:cs="Times New Roman" w:eastAsiaTheme="minorEastAsia"/>
              <w:b/>
              <w:kern w:val="2"/>
              <w:sz w:val="30"/>
              <w:szCs w:val="30"/>
              <w:lang w:val="zh-CN" w:eastAsia="zh-CN" w:bidi="ar-SA"/>
            </w:rPr>
            <w:sectPr>
              <w:footerReference r:id="rId6" w:type="first"/>
              <w:footerReference r:id="rId5" w:type="default"/>
              <w:pgSz w:w="11906" w:h="16838"/>
              <w:pgMar w:top="1440" w:right="1800" w:bottom="1440" w:left="1800" w:header="851" w:footer="992" w:gutter="0"/>
              <w:pgNumType w:start="1"/>
              <w:cols w:space="425" w:num="1"/>
              <w:docGrid w:type="lines" w:linePitch="312" w:charSpace="0"/>
            </w:sectPr>
          </w:pPr>
        </w:p>
        <w:p w14:paraId="521A7C47">
          <w:pPr>
            <w:pStyle w:val="2"/>
            <w:tabs>
              <w:tab w:val="left" w:pos="6765"/>
              <w:tab w:val="right" w:pos="8306"/>
            </w:tabs>
            <w:spacing w:before="312" w:beforeLines="100" w:after="312" w:afterLines="100" w:line="400" w:lineRule="exact"/>
            <w:rPr>
              <w:rFonts w:ascii="Times New Roman" w:hAnsi="Times New Roman" w:cs="Times New Roman" w:eastAsiaTheme="minorEastAsia"/>
              <w:b/>
              <w:kern w:val="2"/>
              <w:sz w:val="30"/>
              <w:szCs w:val="30"/>
              <w:lang w:val="zh-CN" w:eastAsia="zh-CN" w:bidi="ar-SA"/>
            </w:rPr>
          </w:pPr>
          <w:bookmarkStart w:id="0" w:name="_Toc15138"/>
          <w:r>
            <w:rPr>
              <w:rFonts w:ascii="Times New Roman" w:hAnsi="Times New Roman" w:cs="Times New Roman" w:eastAsiaTheme="minorEastAsia"/>
              <w:b/>
              <w:kern w:val="2"/>
              <w:sz w:val="30"/>
              <w:szCs w:val="30"/>
              <w:lang w:val="zh-CN" w:eastAsia="zh-CN" w:bidi="ar-SA"/>
            </w:rPr>
            <w:t>1.项目概况</w:t>
          </w:r>
          <w:bookmarkEnd w:id="0"/>
        </w:p>
        <w:p w14:paraId="16A696D6">
          <w:pPr>
            <w:pStyle w:val="3"/>
            <w:rPr>
              <w:lang w:val="zh-CN" w:eastAsia="zh-CN"/>
            </w:rPr>
          </w:pPr>
          <w:r>
            <w:rPr>
              <w:lang w:val="zh-CN" w:eastAsia="zh-CN"/>
            </w:rPr>
            <w:drawing>
              <wp:inline distT="0" distB="0" distL="114300" distR="114300">
                <wp:extent cx="5267325" cy="2633980"/>
                <wp:effectExtent l="0" t="0" r="3175" b="7620"/>
                <wp:docPr id="2" name="图片 2" descr="3.渲染图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 descr="3.渲染图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7325" cy="2633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5D1EA2BB">
          <w:pPr>
            <w:pStyle w:val="3"/>
            <w:ind w:firstLine="480"/>
            <w:jc w:val="center"/>
            <w:rPr>
              <w:sz w:val="24"/>
              <w:szCs w:val="24"/>
              <w:highlight w:val="yellow"/>
              <w:lang w:val="en-US"/>
            </w:rPr>
          </w:pPr>
          <w:r>
            <w:rPr>
              <w:rFonts w:hint="eastAsia"/>
              <w:sz w:val="24"/>
              <w:szCs w:val="24"/>
              <w:highlight w:val="yellow"/>
              <w:lang w:val="en-US"/>
            </w:rPr>
            <w:t>图1.1  项目效果图</w:t>
          </w:r>
        </w:p>
        <w:p w14:paraId="7B55D232">
          <w:pPr>
            <w:pStyle w:val="2"/>
            <w:spacing w:before="312" w:beforeLines="100" w:after="312" w:afterLines="100" w:line="400" w:lineRule="exact"/>
            <w:rPr>
              <w:rFonts w:ascii="Times New Roman" w:hAnsi="Times New Roman" w:cs="Times New Roman" w:eastAsiaTheme="minorEastAsia"/>
              <w:b/>
              <w:kern w:val="2"/>
              <w:sz w:val="30"/>
              <w:szCs w:val="30"/>
              <w:lang w:eastAsia="zh-CN" w:bidi="ar-SA"/>
            </w:rPr>
          </w:pPr>
          <w:bookmarkStart w:id="1" w:name="_Toc20921"/>
          <w:r>
            <w:rPr>
              <w:rFonts w:hint="eastAsia" w:ascii="Times New Roman" w:hAnsi="Times New Roman" w:cs="Times New Roman" w:eastAsiaTheme="minorEastAsia"/>
              <w:b/>
              <w:kern w:val="2"/>
              <w:sz w:val="30"/>
              <w:szCs w:val="30"/>
              <w:lang w:eastAsia="zh-CN" w:bidi="ar-SA"/>
            </w:rPr>
            <w:t>2.评价依据</w:t>
          </w:r>
          <w:bookmarkEnd w:id="1"/>
        </w:p>
        <w:p w14:paraId="266DC871">
          <w:pPr>
            <w:pStyle w:val="14"/>
            <w:shd w:val="clear" w:color="auto" w:fill="FFFFFF"/>
            <w:spacing w:before="0" w:beforeAutospacing="0" w:after="0" w:afterAutospacing="0" w:line="400" w:lineRule="exact"/>
            <w:ind w:firstLine="480" w:firstLineChars="200"/>
            <w:textAlignment w:val="baseline"/>
          </w:pPr>
          <w:r>
            <w:rPr>
              <w:rFonts w:hint="eastAsia" w:ascii="Times New Roman" w:hAnsi="Times New Roman" w:cs="Times New Roman"/>
            </w:rPr>
            <w:t>依据《绿色建筑评价标准》GB/T 50378-2019第7.1.6条“垂直电梯应采取群控、变频调速或能量反馈等节能措施；自动扶梯应采用变频感应启动等节能控制措施。”</w:t>
          </w:r>
        </w:p>
      </w:sdtContent>
    </w:sdt>
    <w:p w14:paraId="5CAF6FB1">
      <w:pPr>
        <w:pStyle w:val="2"/>
        <w:spacing w:before="312" w:beforeLines="100" w:after="312" w:afterLines="100" w:line="400" w:lineRule="exact"/>
        <w:rPr>
          <w:rFonts w:ascii="Times New Roman" w:hAnsi="Times New Roman" w:cs="Times New Roman" w:eastAsiaTheme="minorEastAsia"/>
          <w:b/>
          <w:bCs w:val="0"/>
          <w:sz w:val="30"/>
          <w:szCs w:val="30"/>
          <w:lang w:val="zh-CN" w:eastAsia="zh-CN"/>
        </w:rPr>
      </w:pPr>
      <w:bookmarkStart w:id="2" w:name="_Toc846"/>
      <w:r>
        <w:rPr>
          <w:rFonts w:ascii="Times New Roman" w:hAnsi="Times New Roman" w:cs="Times New Roman" w:eastAsiaTheme="minorEastAsia"/>
          <w:b/>
          <w:bCs w:val="0"/>
          <w:sz w:val="30"/>
          <w:szCs w:val="30"/>
          <w:lang w:val="zh-CN" w:eastAsia="zh-CN"/>
        </w:rPr>
        <w:t>3.计算标准参数设定</w:t>
      </w:r>
      <w:bookmarkEnd w:id="2"/>
    </w:p>
    <w:p w14:paraId="2EDB0328">
      <w:pPr>
        <w:pStyle w:val="7"/>
        <w:bidi w:val="0"/>
      </w:pPr>
      <w:bookmarkStart w:id="3" w:name="_Toc11630"/>
      <w:r>
        <w:t>本项目为模块化办公及配套服务建筑，核心使用人群为办公人员，人流特征呈现早高峰（8:30-9:30）、晚高峰（17:30-18:30） 集中上下行的特点，平峰期人流分散且流量较小。结合项目人流特征及建筑功能定位，选用单程快行服务方式开展电梯人流平衡计算，自动扶梯按连续人流输送模式核算，具体计算标准参数设定如下。</w:t>
      </w:r>
    </w:p>
    <w:bookmarkEnd w:id="3"/>
    <w:p w14:paraId="68B7586C">
      <w:pPr>
        <w:pStyle w:val="4"/>
        <w:bidi w:val="0"/>
      </w:pPr>
      <w:r>
        <w:t>3.1 电梯计算公式及说明</w:t>
      </w:r>
    </w:p>
    <w:p w14:paraId="2E4DEB3E">
      <w:pPr>
        <w:pStyle w:val="7"/>
        <w:bidi w:val="0"/>
      </w:pPr>
      <w:r>
        <w:t>（1）计算假设</w:t>
      </w:r>
    </w:p>
    <w:p w14:paraId="69FB78AD">
      <w:pPr>
        <w:pStyle w:val="7"/>
        <w:bidi w:val="0"/>
      </w:pPr>
      <w:r>
        <w:t>项目早、晚高峰期间，乘客到达电梯厅的规律符合泊松分布，无楼层间往返乘梯情形；</w:t>
      </w:r>
    </w:p>
    <w:p w14:paraId="4D14D689">
      <w:pPr>
        <w:pStyle w:val="7"/>
        <w:bidi w:val="0"/>
      </w:pPr>
      <w:r>
        <w:t xml:space="preserve">电梯采用单程快行服务方式运行，所有电梯均从地下 </w:t>
      </w:r>
      <w:r>
        <w:rPr>
          <w:rFonts w:hint="eastAsia"/>
          <w:lang w:val="en-US" w:eastAsia="zh-CN"/>
        </w:rPr>
        <w:t>1</w:t>
      </w:r>
      <w:r>
        <w:t xml:space="preserve"> 层基站出发，均匀运送乘客至地上各楼层，下行时从最高层 </w:t>
      </w:r>
      <w:r>
        <w:rPr>
          <w:rFonts w:hint="eastAsia"/>
          <w:lang w:val="en-US" w:eastAsia="zh-CN"/>
        </w:rPr>
        <w:t>5</w:t>
      </w:r>
      <w:r>
        <w:t xml:space="preserve"> 层返程至基站；</w:t>
      </w:r>
    </w:p>
    <w:p w14:paraId="2BD2F64C">
      <w:pPr>
        <w:pStyle w:val="7"/>
        <w:bidi w:val="0"/>
      </w:pPr>
      <w:r>
        <w:t>电梯乘客人数按额定载重量的 0.8 倍核算（载客占有率 80%），符合办公建筑电梯高峰载客实际情况；</w:t>
      </w:r>
    </w:p>
    <w:p w14:paraId="00EB17B7">
      <w:pPr>
        <w:pStyle w:val="7"/>
        <w:bidi w:val="0"/>
      </w:pPr>
      <w:r>
        <w:t>高峰时段电梯满负荷运行，平峰时段按 50% 载客率运行，自动扶梯高峰时段满负荷，平峰时段变频低速运行。</w:t>
      </w:r>
    </w:p>
    <w:p w14:paraId="3E5C880F">
      <w:pPr>
        <w:pStyle w:val="7"/>
        <w:bidi w:val="0"/>
      </w:pPr>
      <w:r>
        <w:t>（2）核心计算公式</w:t>
      </w:r>
    </w:p>
    <w:p w14:paraId="71DE5521">
      <w:pPr>
        <w:pStyle w:val="7"/>
        <w:bidi w:val="0"/>
      </w:pPr>
      <w:r>
        <w:rPr>
          <w:lang w:val="en-US" w:eastAsia="zh-CN"/>
        </w:rPr>
        <w:t>电梯运行周期RTT=Tp​+Td​+Ve​2(S1​+Sa​)​+2ta​+f1​×ts​式中：RTT—— 电梯单台运行周期（s）；Tp​—— 乘客进出轿厢总时间（s）；Td​—— 电梯开关门总时间（s）；S1​—— 短区间轿厢行程（m），本项目按楼层平均高度 3.6m 计；Ve​—— 轿厢额定速度（m/s）；Sa​—— 加速距离（m），按额定速度匹配取值；ta​—— 加速时间（s），按额定速度匹配取值；f1​—— 可能停靠站数；ts​—— 轿厢单站运行时间（s），含启停、平层时间。</w:t>
      </w:r>
    </w:p>
    <w:p w14:paraId="4AAA61AE">
      <w:pPr>
        <w:pStyle w:val="7"/>
        <w:bidi w:val="0"/>
      </w:pPr>
    </w:p>
    <w:p w14:paraId="7D12B3A1">
      <w:pPr>
        <w:pStyle w:val="7"/>
        <w:bidi w:val="0"/>
      </w:pPr>
    </w:p>
    <w:p w14:paraId="676B68AA">
      <w:pPr>
        <w:pStyle w:val="7"/>
        <w:bidi w:val="0"/>
      </w:pPr>
      <w:r>
        <w:rPr>
          <w:lang w:val="en-US" w:eastAsia="zh-CN"/>
        </w:rPr>
        <w:t>可能停靠站数f1​=n[1−(nn−1​)r]式中：n—— 电梯服务楼层数（层）；r—— 电梯实际载客人数（人）。</w:t>
      </w:r>
    </w:p>
    <w:p w14:paraId="61D6487F">
      <w:pPr>
        <w:pStyle w:val="7"/>
        <w:bidi w:val="0"/>
      </w:pPr>
    </w:p>
    <w:p w14:paraId="0E9CF8B2">
      <w:pPr>
        <w:pStyle w:val="7"/>
        <w:bidi w:val="0"/>
      </w:pPr>
    </w:p>
    <w:p w14:paraId="3E711F47">
      <w:pPr>
        <w:pStyle w:val="7"/>
        <w:bidi w:val="0"/>
      </w:pPr>
      <w:r>
        <w:rPr>
          <w:lang w:val="en-US" w:eastAsia="zh-CN"/>
        </w:rPr>
        <w:t>平均间隙时间AI=NRTT​式中：AI—— 平均间隙时间（s）；N—— 电梯群控台数（台）。</w:t>
      </w:r>
    </w:p>
    <w:p w14:paraId="5A4D4366">
      <w:pPr>
        <w:pStyle w:val="7"/>
        <w:bidi w:val="0"/>
      </w:pPr>
    </w:p>
    <w:p w14:paraId="41BAC32D">
      <w:pPr>
        <w:pStyle w:val="7"/>
        <w:bidi w:val="0"/>
      </w:pPr>
      <w:r>
        <w:rPr>
          <w:lang w:val="en-US" w:eastAsia="zh-CN"/>
        </w:rPr>
        <w:t>平均等候时间AWT=0.6AI式中：AWT—— 乘客平均等候时间（s）。</w:t>
      </w:r>
    </w:p>
    <w:p w14:paraId="47E162B2">
      <w:pPr>
        <w:pStyle w:val="7"/>
        <w:bidi w:val="0"/>
      </w:pPr>
    </w:p>
    <w:p w14:paraId="017A945F">
      <w:pPr>
        <w:pStyle w:val="7"/>
        <w:bidi w:val="0"/>
      </w:pPr>
      <w:r>
        <w:rPr>
          <w:lang w:val="en-US" w:eastAsia="zh-CN"/>
        </w:rPr>
        <w:t>5 分钟载客率（输送率）CE=RTT5×60×r×N​÷P×100%式中：CE——5 分钟载客率（%）；P—— 高峰时段待输送总人数（人）。</w:t>
      </w:r>
    </w:p>
    <w:p w14:paraId="04443354">
      <w:pPr>
        <w:pStyle w:val="7"/>
        <w:bidi w:val="0"/>
      </w:pPr>
    </w:p>
    <w:p w14:paraId="1D208661">
      <w:pPr>
        <w:pStyle w:val="7"/>
        <w:bidi w:val="0"/>
      </w:pPr>
      <w:r>
        <w:rPr>
          <w:lang w:val="en-US" w:eastAsia="zh-CN"/>
        </w:rPr>
        <w:t>自动扶梯输送能力C=0.9×v×k×1000式中：C—— 自动扶梯每小时输送能力（人 /h）；0.9—— 扶梯载人系数（考虑乘客站立间距）；v—— 扶梯额定速度（m/s），高峰 0.5m/s，平峰 0.3m/s；k—— 扶梯梯级宽度折算系数，1m 宽梯级取 1.0。</w:t>
      </w:r>
    </w:p>
    <w:p w14:paraId="679B4CAD">
      <w:pPr>
        <w:pStyle w:val="7"/>
        <w:bidi w:val="0"/>
      </w:pPr>
    </w:p>
    <w:p w14:paraId="695E4F3B">
      <w:pPr>
        <w:pStyle w:val="4"/>
        <w:bidi w:val="0"/>
      </w:pPr>
      <w:r>
        <w:t>3.2 电梯标准</w:t>
      </w:r>
    </w:p>
    <w:p w14:paraId="7375B8EB">
      <w:pPr>
        <w:pStyle w:val="7"/>
        <w:bidi w:val="0"/>
      </w:pPr>
      <w:r>
        <w:rPr>
          <w:lang w:val="en-US" w:eastAsia="zh-CN"/>
        </w:rPr>
        <w:t>结合本项目办公建筑的功能定位，参考国家规范及行业通用标准，确定电梯与自动扶梯的核心性能标准如下：</w:t>
      </w:r>
    </w:p>
    <w:p w14:paraId="461758AE">
      <w:pPr>
        <w:pStyle w:val="7"/>
        <w:bidi w:val="0"/>
      </w:pPr>
      <w:r>
        <w:t>5 分钟输送率：理想参数为11～15%，最低不低于 10%；</w:t>
      </w:r>
    </w:p>
    <w:p w14:paraId="5E0DE9DD">
      <w:pPr>
        <w:pStyle w:val="7"/>
        <w:bidi w:val="0"/>
      </w:pPr>
      <w:r>
        <w:t>平均运转间隔时间（AI）：理想参数为30～40 秒，最长不超过 50 秒；</w:t>
      </w:r>
    </w:p>
    <w:p w14:paraId="5AED49FE">
      <w:pPr>
        <w:pStyle w:val="7"/>
        <w:bidi w:val="0"/>
      </w:pPr>
      <w:r>
        <w:t>乘客平均等候时间（AWT）：理想参数为18～24 秒，最长不超过 30 秒；</w:t>
      </w:r>
    </w:p>
    <w:p w14:paraId="09174992">
      <w:pPr>
        <w:pStyle w:val="7"/>
        <w:bidi w:val="0"/>
      </w:pPr>
      <w:r>
        <w:t>自动扶梯：高峰时段输送能力满足高峰人流 50% 以上的疏散需求，平峰时段采用变频感应启动，无人时低速运行。</w:t>
      </w:r>
    </w:p>
    <w:p w14:paraId="0D571E1E">
      <w:pPr>
        <w:pStyle w:val="4"/>
        <w:bidi w:val="0"/>
      </w:pPr>
      <w:r>
        <w:t>3.3 计算参数设定</w:t>
      </w:r>
    </w:p>
    <w:p w14:paraId="60B26F8A">
      <w:pPr>
        <w:pStyle w:val="7"/>
        <w:bidi w:val="0"/>
        <w:rPr>
          <w:lang w:val="en-US" w:eastAsia="zh-CN"/>
        </w:rPr>
      </w:pPr>
      <w:r>
        <w:rPr>
          <w:lang w:val="en-US" w:eastAsia="zh-CN"/>
        </w:rPr>
        <w:t xml:space="preserve">结合项目建筑规模（地上 </w:t>
      </w:r>
      <w:r>
        <w:rPr>
          <w:rFonts w:hint="eastAsia"/>
          <w:lang w:val="en-US" w:eastAsia="zh-CN"/>
        </w:rPr>
        <w:t>5</w:t>
      </w:r>
      <w:r>
        <w:rPr>
          <w:lang w:val="en-US" w:eastAsia="zh-CN"/>
        </w:rPr>
        <w:t xml:space="preserve"> 层、地下 </w:t>
      </w:r>
      <w:r>
        <w:rPr>
          <w:rFonts w:hint="eastAsia"/>
          <w:lang w:val="en-US" w:eastAsia="zh-CN"/>
        </w:rPr>
        <w:t>2</w:t>
      </w:r>
      <w:r>
        <w:rPr>
          <w:lang w:val="en-US" w:eastAsia="zh-CN"/>
        </w:rPr>
        <w:t xml:space="preserve"> 层）、核心使用人数（300 人）、高峰流动人数（500 人）及空间布局，经综合测算，确定电梯与自动扶梯的基础计算参数，所有参数均结合项目模块化建筑的实际使用需求设定，符合国家现行规范要求，具体如下表：</w:t>
      </w:r>
    </w:p>
    <w:p w14:paraId="4C7A211B">
      <w:pPr>
        <w:pStyle w:val="7"/>
        <w:bidi w:val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表 3.3-1 电梯计算核心参数设定表</w:t>
      </w:r>
    </w:p>
    <w:tbl>
      <w:tblPr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98"/>
        <w:gridCol w:w="814"/>
        <w:gridCol w:w="2183"/>
        <w:gridCol w:w="3471"/>
      </w:tblGrid>
      <w:tr w14:paraId="28350A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F86FB1">
            <w:pPr>
              <w:keepNext w:val="0"/>
              <w:keepLines w:val="0"/>
              <w:widowControl/>
              <w:suppressLineNumbers w:val="0"/>
              <w:jc w:val="left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参数名称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727432">
            <w:pPr>
              <w:keepNext w:val="0"/>
              <w:keepLines w:val="0"/>
              <w:widowControl/>
              <w:suppressLineNumbers w:val="0"/>
              <w:jc w:val="left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FB104F">
            <w:pPr>
              <w:keepNext w:val="0"/>
              <w:keepLines w:val="0"/>
              <w:widowControl/>
              <w:suppressLineNumbers w:val="0"/>
              <w:jc w:val="left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取值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01B43F">
            <w:pPr>
              <w:keepNext w:val="0"/>
              <w:keepLines w:val="0"/>
              <w:widowControl/>
              <w:suppressLineNumbers w:val="0"/>
              <w:jc w:val="left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备注</w:t>
            </w:r>
          </w:p>
        </w:tc>
      </w:tr>
      <w:tr w14:paraId="47D12A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24F54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服务楼层数n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6AF2A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层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72A7C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7（地下 2 层～地上 5 层）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5C8FD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基站为地下 1 层</w:t>
            </w:r>
          </w:p>
        </w:tc>
      </w:tr>
      <w:tr w14:paraId="5560959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260CC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电梯群控台数N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E57DE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台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1482B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8486E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 台客梯 + 1 台消防电梯（兼客梯 / 货梯）</w:t>
            </w:r>
          </w:p>
        </w:tc>
      </w:tr>
      <w:tr w14:paraId="6C3B2EE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33370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电梯额定载客人数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42755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人 / 台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753F3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1DA69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额定载重量 1200kg，适配 5 层办公建筑规格</w:t>
            </w:r>
          </w:p>
        </w:tc>
      </w:tr>
      <w:tr w14:paraId="35C10E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F4E0E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实际载客人数r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3B299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人 / 台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84590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97F4D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按额定载客的 80% 核算，办公高峰取值</w:t>
            </w:r>
          </w:p>
        </w:tc>
      </w:tr>
      <w:tr w14:paraId="67DBC8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CFBBB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乘客进出轿厢总时间T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p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​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4996F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 / 次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50B1D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1CD81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按每人 2 秒核算，13 人 ×2 秒</w:t>
            </w:r>
          </w:p>
        </w:tc>
      </w:tr>
      <w:tr w14:paraId="6B4DF5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9F6E3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电梯开关门总时间T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d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​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D1365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 / 次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25D14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C6446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开门 5 秒 + 关门 5 秒，配置变频门机</w:t>
            </w:r>
          </w:p>
        </w:tc>
      </w:tr>
      <w:tr w14:paraId="7BB8C6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80F03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轿厢额定速度V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e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​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177D9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m/s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67516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1.0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6042C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5 层办公建筑常用经济额定速度</w:t>
            </w:r>
          </w:p>
        </w:tc>
      </w:tr>
      <w:tr w14:paraId="5B9FA3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1C553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加速距离S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a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​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511EC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AEB7B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1.2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013A7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匹配 1.0m/s 额定速度</w:t>
            </w:r>
          </w:p>
        </w:tc>
      </w:tr>
      <w:tr w14:paraId="075873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0D52C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加速时间t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a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​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D4933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5FD87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2.0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BD829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匹配 1.0m/s 额定速度</w:t>
            </w:r>
          </w:p>
        </w:tc>
      </w:tr>
      <w:tr w14:paraId="5103F6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8F1BF7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短区间轿厢行程S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​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283A6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m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D3CC3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3.6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DFB2F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项目楼层平均高度，办公 / 仓库区统一</w:t>
            </w:r>
          </w:p>
        </w:tc>
      </w:tr>
      <w:tr w14:paraId="44E569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A37E8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轿厢单站运行时间t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s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​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AB91B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s / 站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5453E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3EA05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含启停、平层、停靠时间，适配中低层建筑</w:t>
            </w:r>
          </w:p>
        </w:tc>
      </w:tr>
      <w:tr w14:paraId="46996A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79F05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高峰时段待输送总人数P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42EC8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人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DFD33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300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54037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早高峰地上办公区核心总人数</w:t>
            </w:r>
          </w:p>
        </w:tc>
      </w:tr>
      <w:tr w14:paraId="3B4BEC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61942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平峰时段载客率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EF311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%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24F5B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C6884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电梯平峰期实际载客 / 额定载客</w:t>
            </w:r>
          </w:p>
        </w:tc>
      </w:tr>
    </w:tbl>
    <w:p w14:paraId="12E8C759">
      <w:pPr>
        <w:pStyle w:val="7"/>
        <w:bidi w:val="0"/>
        <w:rPr>
          <w:rFonts w:ascii="宋体" w:hAnsi="宋体" w:eastAsia="宋体" w:cs="宋体"/>
          <w:sz w:val="24"/>
          <w:szCs w:val="24"/>
        </w:rPr>
      </w:pPr>
    </w:p>
    <w:p w14:paraId="2531FF65">
      <w:pPr>
        <w:pStyle w:val="7"/>
        <w:bidi w:val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表 3.3-2 自动扶梯计算核心参数设定表</w:t>
      </w:r>
    </w:p>
    <w:tbl>
      <w:tblPr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51"/>
        <w:gridCol w:w="1566"/>
        <w:gridCol w:w="1583"/>
        <w:gridCol w:w="1566"/>
        <w:gridCol w:w="2200"/>
      </w:tblGrid>
      <w:tr w14:paraId="1C5E00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1AD80F">
            <w:pPr>
              <w:keepNext w:val="0"/>
              <w:keepLines w:val="0"/>
              <w:widowControl/>
              <w:suppressLineNumbers w:val="0"/>
              <w:jc w:val="left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参数名称</w:t>
            </w:r>
          </w:p>
        </w:tc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2E793F">
            <w:pPr>
              <w:keepNext w:val="0"/>
              <w:keepLines w:val="0"/>
              <w:widowControl/>
              <w:suppressLineNumbers w:val="0"/>
              <w:jc w:val="left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单位</w:t>
            </w:r>
          </w:p>
        </w:tc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2F3C52">
            <w:pPr>
              <w:keepNext w:val="0"/>
              <w:keepLines w:val="0"/>
              <w:widowControl/>
              <w:suppressLineNumbers w:val="0"/>
              <w:jc w:val="left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高峰取值</w:t>
            </w:r>
          </w:p>
        </w:tc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EBBB1D">
            <w:pPr>
              <w:keepNext w:val="0"/>
              <w:keepLines w:val="0"/>
              <w:widowControl/>
              <w:suppressLineNumbers w:val="0"/>
              <w:jc w:val="left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平峰取值</w:t>
            </w:r>
          </w:p>
        </w:tc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1CEF43">
            <w:pPr>
              <w:keepNext w:val="0"/>
              <w:keepLines w:val="0"/>
              <w:widowControl/>
              <w:suppressLineNumbers w:val="0"/>
              <w:jc w:val="left"/>
              <w:rPr>
                <w:b/>
                <w:bCs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  <w:t>备注</w:t>
            </w:r>
          </w:p>
        </w:tc>
      </w:tr>
      <w:tr w14:paraId="57D94D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2878C0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扶梯设置台数</w:t>
            </w:r>
          </w:p>
        </w:tc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8816E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台</w:t>
            </w:r>
          </w:p>
        </w:tc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85902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3D18A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761D5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双向布置（上行 1 台 + 下行 1 台），连接 1-3 层办公区</w:t>
            </w:r>
          </w:p>
        </w:tc>
      </w:tr>
      <w:tr w14:paraId="144CBD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4047D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扶梯梯级宽度</w:t>
            </w:r>
          </w:p>
        </w:tc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C8F5A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m</w:t>
            </w:r>
          </w:p>
        </w:tc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B4174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1.0</w:t>
            </w:r>
          </w:p>
        </w:tc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95C42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1.0</w:t>
            </w:r>
          </w:p>
        </w:tc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1C711E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办公建筑常用规格，兼顾通行效率与空间</w:t>
            </w:r>
          </w:p>
        </w:tc>
      </w:tr>
      <w:tr w14:paraId="6A11B3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8E5A8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额定运行速度v</w:t>
            </w:r>
          </w:p>
        </w:tc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FBA86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m/s</w:t>
            </w:r>
          </w:p>
        </w:tc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04C58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0.5</w:t>
            </w:r>
          </w:p>
        </w:tc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19268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0.3</w:t>
            </w:r>
          </w:p>
        </w:tc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B68F7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变频感应启动，无人时低速待机</w:t>
            </w:r>
          </w:p>
        </w:tc>
      </w:tr>
      <w:tr w14:paraId="40B3AE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F7483A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载人系数</w:t>
            </w:r>
          </w:p>
        </w:tc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DF257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—</w:t>
            </w:r>
          </w:p>
        </w:tc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82485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0.9</w:t>
            </w:r>
          </w:p>
        </w:tc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4A8FF8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0.9</w:t>
            </w:r>
          </w:p>
        </w:tc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467E3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行业通用折算系数，考虑站立间距</w:t>
            </w:r>
          </w:p>
        </w:tc>
      </w:tr>
      <w:tr w14:paraId="7C747D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5AFC4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单台每小时输送能力C</w:t>
            </w:r>
          </w:p>
        </w:tc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A0D366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人 /h</w:t>
            </w:r>
          </w:p>
        </w:tc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4F41A3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1620</w:t>
            </w:r>
          </w:p>
        </w:tc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28EAC1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972</w:t>
            </w:r>
          </w:p>
        </w:tc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09AEE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按公式C=0.9×v×1×1000核算</w:t>
            </w:r>
          </w:p>
        </w:tc>
      </w:tr>
      <w:tr w14:paraId="38D82A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7E28EC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高峰运行时长</w:t>
            </w:r>
          </w:p>
        </w:tc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BDA3B9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h</w:t>
            </w:r>
          </w:p>
        </w:tc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19453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91B702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—</w:t>
            </w:r>
          </w:p>
        </w:tc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32AE5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早、晚高峰各 1 小时，匹配办公人流特征</w:t>
            </w:r>
          </w:p>
        </w:tc>
      </w:tr>
      <w:tr w14:paraId="1B5C958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212234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平峰变频启动阈值</w:t>
            </w:r>
          </w:p>
        </w:tc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C0D9DD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人 /㎡</w:t>
            </w:r>
          </w:p>
        </w:tc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9128BF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0.3</w:t>
            </w:r>
          </w:p>
        </w:tc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2658EB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—</w:t>
            </w:r>
          </w:p>
        </w:tc>
        <w:tc>
          <w:tcPr>
            <w:tcW w:w="1728" w:type="dxa"/>
            <w:tcBorders>
              <w:top w:val="single" w:color="CCCCCC" w:sz="4" w:space="0"/>
              <w:left w:val="single" w:color="CCCCCC" w:sz="4" w:space="0"/>
              <w:bottom w:val="single" w:color="CCCCCC" w:sz="4" w:space="0"/>
              <w:right w:val="single" w:color="CCCCCC" w:sz="4" w:space="0"/>
            </w:tcBorders>
            <w:shd w:val="clear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78C125"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t>梯级区域人员密度低于阈值时自动降速</w:t>
            </w:r>
          </w:p>
        </w:tc>
      </w:tr>
    </w:tbl>
    <w:p w14:paraId="3A8A833F">
      <w:pPr>
        <w:pStyle w:val="7"/>
        <w:bidi w:val="0"/>
        <w:rPr>
          <w:rFonts w:ascii="宋体" w:hAnsi="宋体" w:eastAsia="宋体" w:cs="宋体"/>
          <w:sz w:val="24"/>
          <w:szCs w:val="24"/>
          <w:lang w:val="en-US" w:eastAsia="zh-CN"/>
        </w:rPr>
      </w:pPr>
    </w:p>
    <w:p w14:paraId="3503CE15">
      <w:pPr>
        <w:pStyle w:val="2"/>
        <w:numPr>
          <w:ilvl w:val="0"/>
          <w:numId w:val="1"/>
        </w:numPr>
        <w:spacing w:before="312" w:beforeLines="100" w:after="312" w:afterLines="100" w:line="400" w:lineRule="exact"/>
        <w:rPr>
          <w:rFonts w:ascii="Times New Roman" w:hAnsi="Times New Roman" w:cs="Times New Roman" w:eastAsiaTheme="minorEastAsia"/>
          <w:b/>
          <w:kern w:val="2"/>
          <w:sz w:val="30"/>
          <w:szCs w:val="30"/>
          <w:lang w:val="zh-CN" w:eastAsia="zh-CN" w:bidi="ar-SA"/>
        </w:rPr>
      </w:pPr>
      <w:bookmarkStart w:id="4" w:name="_Toc5625"/>
      <w:r>
        <w:rPr>
          <w:rFonts w:ascii="Times New Roman" w:hAnsi="Times New Roman" w:cs="Times New Roman" w:eastAsiaTheme="minorEastAsia"/>
          <w:b/>
          <w:kern w:val="2"/>
          <w:sz w:val="30"/>
          <w:szCs w:val="30"/>
          <w:lang w:val="zh-CN" w:eastAsia="zh-CN" w:bidi="ar-SA"/>
        </w:rPr>
        <w:t>电梯运行周期计算</w:t>
      </w:r>
      <w:bookmarkEnd w:id="4"/>
    </w:p>
    <w:p w14:paraId="168DA341">
      <w:pPr>
        <w:pStyle w:val="4"/>
        <w:bidi w:val="0"/>
      </w:pPr>
      <w:r>
        <w:t>4.1 电梯技术条件</w:t>
      </w:r>
    </w:p>
    <w:p w14:paraId="76D228B4">
      <w:pPr>
        <w:pStyle w:val="7"/>
        <w:bidi w:val="0"/>
      </w:pPr>
      <w:r>
        <w:rPr>
          <w:lang w:val="en-US" w:eastAsia="zh-CN"/>
        </w:rPr>
        <w:t>本项目选用的垂直电梯及自动扶梯，均选用符合国家现行产品标准的节能型设备，技术条件与项目建筑规模、功能布局、人流需求高度适配，核心技术条件如下：</w:t>
      </w:r>
    </w:p>
    <w:p w14:paraId="3C72E314">
      <w:pPr>
        <w:pStyle w:val="7"/>
        <w:bidi w:val="0"/>
      </w:pPr>
      <w:r>
        <w:t>垂直电梯：选用 2 台客梯 + 1 台消防电梯（兼客梯 / 货梯），均采用群控 + 变频调速 + 能量反馈节能系统，额定载重量 1200kg（16 人），额定速度 1.0m/s，变频门机（开关门总时间 10s），服务楼层为地下 2 层至地上 5 层，基站设于地下 1 层，轿厢内配置智能呼叫及人流监测模块，接入项目智慧运维系统；</w:t>
      </w:r>
    </w:p>
    <w:p w14:paraId="6D6421C0">
      <w:pPr>
        <w:pStyle w:val="7"/>
        <w:bidi w:val="0"/>
      </w:pPr>
      <w:r>
        <w:t>自动扶梯：选用 2 台 1.0m 宽节能型自动扶梯，双向布置于办公区 1-3 层核心动线，采用变频感应启动 + 无人低速待机节能控制，额定速度 0.5m/s（高峰）/0.3m/s（平峰），载人系数 0.9，满足办公区高峰人流快速输送及平峰节能运行需求；</w:t>
      </w:r>
    </w:p>
    <w:p w14:paraId="4C2989B3">
      <w:pPr>
        <w:pStyle w:val="7"/>
        <w:bidi w:val="0"/>
      </w:pPr>
      <w:r>
        <w:t>所有设备的运行参数、节能措施均符合《绿色建筑评价标准》GB/T 50378-2019 第 7.1.6 条要求，电梯群控系统可实现智能调度，根据人流密度自动调整运行台数及运行速度，最大化提升输送效率、降低能耗。</w:t>
      </w:r>
    </w:p>
    <w:p w14:paraId="59F19EAE">
      <w:pPr>
        <w:pStyle w:val="4"/>
        <w:bidi w:val="0"/>
      </w:pPr>
      <w:r>
        <w:t>4.2 电梯运行周期计算</w:t>
      </w:r>
    </w:p>
    <w:p w14:paraId="54F0F5B7">
      <w:pPr>
        <w:pStyle w:val="7"/>
        <w:bidi w:val="0"/>
      </w:pPr>
      <w:r>
        <w:rPr>
          <w:lang w:val="en-US" w:eastAsia="zh-CN"/>
        </w:rPr>
        <w:t>根据 3.1 节核心计算公式、3.3 节设定参数及 4.1 节电梯技术条件，依次计算可能停靠站数、电梯单台运行周期、平均间隙时间、平均等候时间、5 分钟载客率等核心指标，同时核算自动扶梯输送能力，验证电梯、自动扶梯的人流速与项目高峰人流需求的匹配程度，具体计算过程及结果如下：</w:t>
      </w:r>
    </w:p>
    <w:p w14:paraId="7EF2C5C4">
      <w:pPr>
        <w:pStyle w:val="7"/>
        <w:bidi w:val="0"/>
      </w:pPr>
      <w:r>
        <w:t>（1）电梯核心指标计算</w:t>
      </w:r>
    </w:p>
    <w:p w14:paraId="47CAF09A">
      <w:pPr>
        <w:pStyle w:val="7"/>
        <w:bidi w:val="0"/>
      </w:pPr>
      <w:r>
        <w:t>① 可能停靠站数</w:t>
      </w:r>
    </w:p>
    <w:p w14:paraId="6A20FA61">
      <w:pPr>
        <w:pStyle w:val="7"/>
        <w:bidi w:val="0"/>
      </w:pPr>
      <w:r>
        <w:rPr>
          <w:lang w:val="en-US" w:eastAsia="zh-CN"/>
        </w:rPr>
        <w:t>f1​=n[1−(nn−1​)r]=7×[1−(77−1​)13]=7×[1−(76​)13]≈7×(1−0.12)=6.16，取整为6 层</w:t>
      </w:r>
    </w:p>
    <w:p w14:paraId="640BA95B">
      <w:pPr>
        <w:pStyle w:val="7"/>
        <w:bidi w:val="0"/>
      </w:pPr>
      <w:r>
        <w:t>② 电梯单台运行周期</w:t>
      </w:r>
    </w:p>
    <w:p w14:paraId="57E267EE">
      <w:pPr>
        <w:pStyle w:val="7"/>
        <w:bidi w:val="0"/>
      </w:pPr>
      <w:r>
        <w:rPr>
          <w:lang w:val="en-US" w:eastAsia="zh-CN"/>
        </w:rPr>
        <w:t>RTT=Tp​+Td​+Ve​2(S1​+Sa​)​+2ta​+f1​×ts​=26+10+1.02×(3.6+1.2)​+2×2.0+6×6=36+9.6+4+36=85.6s</w:t>
      </w:r>
    </w:p>
    <w:p w14:paraId="15558E60">
      <w:pPr>
        <w:pStyle w:val="7"/>
        <w:bidi w:val="0"/>
      </w:pPr>
      <w:r>
        <w:t>③ 平均间隙时间</w:t>
      </w:r>
    </w:p>
    <w:p w14:paraId="39D6E06E">
      <w:pPr>
        <w:pStyle w:val="7"/>
        <w:bidi w:val="0"/>
      </w:pPr>
      <w:r>
        <w:rPr>
          <w:lang w:val="en-US" w:eastAsia="zh-CN"/>
        </w:rPr>
        <w:t>AI=NRTT​=385.6​≈28.53s</w:t>
      </w:r>
    </w:p>
    <w:p w14:paraId="47FE93BF">
      <w:pPr>
        <w:pStyle w:val="7"/>
        <w:bidi w:val="0"/>
      </w:pPr>
      <w:r>
        <w:t>④ 平均等候时间</w:t>
      </w:r>
    </w:p>
    <w:p w14:paraId="1C621DC9">
      <w:pPr>
        <w:pStyle w:val="7"/>
        <w:bidi w:val="0"/>
      </w:pPr>
      <w:r>
        <w:rPr>
          <w:lang w:val="en-US" w:eastAsia="zh-CN"/>
        </w:rPr>
        <w:t>AWT=0.6AI=0.6×28.53≈17.12s</w:t>
      </w:r>
    </w:p>
    <w:p w14:paraId="3BC3B146">
      <w:pPr>
        <w:pStyle w:val="7"/>
        <w:bidi w:val="0"/>
      </w:pPr>
      <w:r>
        <w:t>⑤ 5 分钟载客率</w:t>
      </w:r>
    </w:p>
    <w:p w14:paraId="16075668">
      <w:pPr>
        <w:pStyle w:val="7"/>
        <w:bidi w:val="0"/>
      </w:pPr>
      <w:r>
        <w:rPr>
          <w:lang w:val="en-US" w:eastAsia="zh-CN"/>
        </w:rPr>
        <w:t>CE=RTT5×60×r×N​÷P×100%=85.6300×13×3​÷300×100%=85.611700​÷300×100%≈136.68÷300×100%≈45.56%</w:t>
      </w:r>
    </w:p>
    <w:p w14:paraId="30F7B8E9">
      <w:pPr>
        <w:pStyle w:val="7"/>
        <w:bidi w:val="0"/>
      </w:pPr>
      <w:r>
        <w:t>（2）自动扶梯核心指标计算</w:t>
      </w:r>
    </w:p>
    <w:p w14:paraId="3A3B0B17">
      <w:pPr>
        <w:pStyle w:val="7"/>
        <w:bidi w:val="0"/>
      </w:pPr>
      <w:r>
        <w:rPr>
          <w:lang w:val="en-US" w:eastAsia="zh-CN"/>
        </w:rPr>
        <w:t>单台扶梯高峰每小时输送能力C=0.9×0.5×1×1000=1620人 /h2 台扶梯高峰总输送能力=1620×2=3240人 /h高峰时段（1 小时）可输送总人数 = 3240 人，远大于办公区高峰待输送人数 300 人，输送能力冗余充足。</w:t>
      </w:r>
    </w:p>
    <w:p w14:paraId="45E715B0">
      <w:pPr>
        <w:pStyle w:val="7"/>
        <w:bidi w:val="0"/>
      </w:pPr>
      <w:r>
        <w:t>（3）人流匹配性验证</w:t>
      </w:r>
    </w:p>
    <w:p w14:paraId="395E1B40">
      <w:pPr>
        <w:pStyle w:val="7"/>
        <w:bidi w:val="0"/>
      </w:pPr>
      <w:r>
        <w:t>电梯 5 分钟载客率为 45.56%，远高于办公建筑 11~15% 的理想标准，高峰时段 5 分钟可输送超 45% 的待输送人流，输送效率充足；</w:t>
      </w:r>
    </w:p>
    <w:p w14:paraId="28D5424B">
      <w:pPr>
        <w:pStyle w:val="7"/>
        <w:bidi w:val="0"/>
      </w:pPr>
      <w:r>
        <w:t>电平均间隙时间 28.53s、平均等候时间 17.12s，均优于办公建筑 30~40s、18~24s 的理想标准，乘客等候时间短，体验性佳；</w:t>
      </w:r>
    </w:p>
    <w:p w14:paraId="0AB36250">
      <w:pPr>
        <w:pStyle w:val="7"/>
        <w:bidi w:val="0"/>
      </w:pPr>
      <w:r>
        <w:t>自动扶梯高峰总输送能力 3240 人 /h，远超项目高峰人流需求，可有效分流电梯人流，进一步降低电梯等候时间，提升整体垂直交通效率；</w:t>
      </w:r>
    </w:p>
    <w:p w14:paraId="6C620207">
      <w:pPr>
        <w:pStyle w:val="7"/>
        <w:bidi w:val="0"/>
        <w:rPr>
          <w:lang w:val="zh-CN" w:eastAsia="zh-CN"/>
        </w:rPr>
      </w:pPr>
      <w:r>
        <w:t>仓库区无明显高峰，消防电梯兼货梯按需运行，单台电梯即可满足仓库区 50 名工作人员的日常通行需求，无人流拥堵风险。</w:t>
      </w:r>
    </w:p>
    <w:p w14:paraId="3FFFE3D2">
      <w:pPr>
        <w:pStyle w:val="2"/>
        <w:spacing w:before="312" w:beforeLines="100" w:after="312" w:afterLines="100" w:line="400" w:lineRule="exact"/>
        <w:rPr>
          <w:rFonts w:ascii="Times New Roman" w:hAnsi="Times New Roman" w:cs="Times New Roman" w:eastAsiaTheme="minorEastAsia"/>
          <w:b/>
          <w:kern w:val="2"/>
          <w:sz w:val="30"/>
          <w:szCs w:val="30"/>
          <w:lang w:val="zh-CN" w:eastAsia="zh-CN" w:bidi="ar-SA"/>
        </w:rPr>
      </w:pPr>
      <w:bookmarkStart w:id="5" w:name="_Toc160"/>
      <w:r>
        <w:rPr>
          <w:rFonts w:hint="eastAsia" w:ascii="Times New Roman" w:hAnsi="Times New Roman" w:cs="Times New Roman" w:eastAsiaTheme="minorEastAsia"/>
          <w:b/>
          <w:kern w:val="2"/>
          <w:sz w:val="30"/>
          <w:szCs w:val="30"/>
          <w:lang w:eastAsia="zh-CN" w:bidi="ar-SA"/>
        </w:rPr>
        <w:t>5</w:t>
      </w:r>
      <w:r>
        <w:rPr>
          <w:rFonts w:ascii="Times New Roman" w:hAnsi="Times New Roman" w:cs="Times New Roman" w:eastAsiaTheme="minorEastAsia"/>
          <w:b/>
          <w:kern w:val="2"/>
          <w:sz w:val="30"/>
          <w:szCs w:val="30"/>
          <w:lang w:val="zh-CN" w:eastAsia="zh-CN" w:bidi="ar-SA"/>
        </w:rPr>
        <w:t>.</w:t>
      </w:r>
      <w:r>
        <w:rPr>
          <w:rFonts w:hint="eastAsia" w:ascii="Times New Roman" w:hAnsi="Times New Roman" w:cs="Times New Roman" w:eastAsiaTheme="minorEastAsia"/>
          <w:b/>
          <w:kern w:val="2"/>
          <w:sz w:val="30"/>
          <w:szCs w:val="30"/>
          <w:lang w:eastAsia="zh-CN" w:bidi="ar-SA"/>
        </w:rPr>
        <w:t>结论</w:t>
      </w:r>
      <w:bookmarkEnd w:id="5"/>
    </w:p>
    <w:p w14:paraId="27AA95CC">
      <w:pPr>
        <w:spacing w:line="400" w:lineRule="exact"/>
        <w:ind w:firstLine="480" w:firstLineChars="200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hint="eastAsia" w:ascii="Times New Roman" w:hAnsi="Times New Roman" w:cs="Times New Roman"/>
          <w:sz w:val="24"/>
          <w:szCs w:val="24"/>
          <w:highlight w:val="none"/>
          <w:lang w:val="zh-CN"/>
        </w:rPr>
        <w:t>通过以上计算得出结论，</w:t>
      </w:r>
      <w:r>
        <w:rPr>
          <w:rFonts w:ascii="Times New Roman" w:hAnsi="Times New Roman" w:cs="Times New Roman"/>
          <w:sz w:val="24"/>
          <w:szCs w:val="24"/>
          <w:highlight w:val="none"/>
          <w:lang w:val="zh-CN"/>
        </w:rPr>
        <w:t>满足《绿色建筑评价标准》</w:t>
      </w:r>
      <w:r>
        <w:rPr>
          <w:rFonts w:hint="eastAsia" w:ascii="Times New Roman" w:hAnsi="Times New Roman" w:cs="Times New Roman"/>
          <w:sz w:val="24"/>
          <w:szCs w:val="24"/>
          <w:highlight w:val="none"/>
          <w:lang w:val="zh-CN"/>
        </w:rPr>
        <w:t>GB/T 50378-2019第7.1.6条</w:t>
      </w:r>
      <w:r>
        <w:rPr>
          <w:rFonts w:ascii="Times New Roman" w:hAnsi="Times New Roman" w:cs="Times New Roman"/>
          <w:sz w:val="24"/>
          <w:szCs w:val="24"/>
          <w:highlight w:val="none"/>
          <w:lang w:val="zh-CN"/>
        </w:rPr>
        <w:t>要求</w:t>
      </w:r>
      <w:r>
        <w:rPr>
          <w:rFonts w:hint="eastAsia" w:ascii="Times New Roman" w:hAnsi="Times New Roman" w:cs="Times New Roman"/>
          <w:sz w:val="24"/>
          <w:szCs w:val="24"/>
          <w:highlight w:val="none"/>
        </w:rPr>
        <w:t>。</w:t>
      </w:r>
      <w:bookmarkStart w:id="6" w:name="_GoBack"/>
      <w:bookmarkEnd w:id="6"/>
    </w:p>
    <w:sectPr>
      <w:footerReference r:id="rId7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0915D8">
    <w:pPr>
      <w:pStyle w:val="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E07B3E">
    <w:pPr>
      <w:pStyle w:val="1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F832D2">
                          <w:pPr>
                            <w:pStyle w:val="10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1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6F832D2">
                    <w:pPr>
                      <w:pStyle w:val="10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</w:rPr>
                      <w:t>1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2AD374">
    <w:pPr>
      <w:pStyle w:val="1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DBA741">
                          <w:pPr>
                            <w:pStyle w:val="10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3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2DBA741">
                    <w:pPr>
                      <w:pStyle w:val="10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cs="Times New Roman"/>
                      </w:rPr>
                      <w:fldChar w:fldCharType="separate"/>
                    </w:r>
                    <w:r>
                      <w:rPr>
                        <w:rFonts w:ascii="Times New Roman" w:hAnsi="Times New Roman" w:cs="Times New Roman"/>
                      </w:rPr>
                      <w:t>3</w:t>
                    </w:r>
                    <w:r>
                      <w:rPr>
                        <w:rFonts w:ascii="Times New Roman" w:hAnsi="Times New Roman" w:cs="Times New Roma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7F486CA">
    <w:pPr>
      <w:pStyle w:val="11"/>
      <w:pBdr>
        <w:bottom w:val="single" w:color="auto" w:sz="4" w:space="1"/>
      </w:pBdr>
      <w:jc w:val="right"/>
      <w:rPr>
        <w:rFonts w:ascii="宋体" w:hAnsi="宋体" w:eastAsia="宋体"/>
      </w:rPr>
    </w:pPr>
    <w:r>
      <w:rPr>
        <w:rFonts w:ascii="Times New Roman" w:hAnsi="Times New Roman" w:cs="Times New Roman"/>
        <w:color w:val="000000"/>
        <w:sz w:val="24"/>
        <w:szCs w:val="24"/>
      </w:rPr>
      <w:t>电梯与自动扶梯人流平衡计算分析报告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BB5E1E">
    <w:pPr>
      <w:pStyle w:val="11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192B81"/>
    <w:multiLevelType w:val="singleLevel"/>
    <w:tmpl w:val="E0192B81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FA2"/>
    <w:rsid w:val="000011E9"/>
    <w:rsid w:val="00005623"/>
    <w:rsid w:val="00011FB5"/>
    <w:rsid w:val="00026428"/>
    <w:rsid w:val="000309F4"/>
    <w:rsid w:val="00040067"/>
    <w:rsid w:val="000477BD"/>
    <w:rsid w:val="000518B1"/>
    <w:rsid w:val="0005545B"/>
    <w:rsid w:val="00076C23"/>
    <w:rsid w:val="00080C0D"/>
    <w:rsid w:val="000A77B2"/>
    <w:rsid w:val="000B5F99"/>
    <w:rsid w:val="000C4D1D"/>
    <w:rsid w:val="000C5C6F"/>
    <w:rsid w:val="00105389"/>
    <w:rsid w:val="001149C0"/>
    <w:rsid w:val="001237A7"/>
    <w:rsid w:val="0016161E"/>
    <w:rsid w:val="00175270"/>
    <w:rsid w:val="00181F1F"/>
    <w:rsid w:val="00192071"/>
    <w:rsid w:val="001A2234"/>
    <w:rsid w:val="001E799F"/>
    <w:rsid w:val="001F1B68"/>
    <w:rsid w:val="001F3F14"/>
    <w:rsid w:val="001F4739"/>
    <w:rsid w:val="0021351D"/>
    <w:rsid w:val="00236C73"/>
    <w:rsid w:val="00247BE8"/>
    <w:rsid w:val="00254A5B"/>
    <w:rsid w:val="002818CD"/>
    <w:rsid w:val="0029228B"/>
    <w:rsid w:val="00294384"/>
    <w:rsid w:val="002B6819"/>
    <w:rsid w:val="002C5CD6"/>
    <w:rsid w:val="002C78EB"/>
    <w:rsid w:val="002D0A6E"/>
    <w:rsid w:val="002F2E40"/>
    <w:rsid w:val="0030362A"/>
    <w:rsid w:val="00306605"/>
    <w:rsid w:val="0033421D"/>
    <w:rsid w:val="00351560"/>
    <w:rsid w:val="00376141"/>
    <w:rsid w:val="003B0C57"/>
    <w:rsid w:val="003E7CE6"/>
    <w:rsid w:val="00406761"/>
    <w:rsid w:val="004649B2"/>
    <w:rsid w:val="004843F9"/>
    <w:rsid w:val="004920CC"/>
    <w:rsid w:val="004A1EA3"/>
    <w:rsid w:val="004B28CB"/>
    <w:rsid w:val="004D13DB"/>
    <w:rsid w:val="004D5AED"/>
    <w:rsid w:val="004F0207"/>
    <w:rsid w:val="00525779"/>
    <w:rsid w:val="00550ABD"/>
    <w:rsid w:val="00565A84"/>
    <w:rsid w:val="00566344"/>
    <w:rsid w:val="00580554"/>
    <w:rsid w:val="00586EC3"/>
    <w:rsid w:val="00592E8F"/>
    <w:rsid w:val="005930A0"/>
    <w:rsid w:val="005A1C43"/>
    <w:rsid w:val="005A4508"/>
    <w:rsid w:val="005C1B1E"/>
    <w:rsid w:val="005D71C2"/>
    <w:rsid w:val="00613EE3"/>
    <w:rsid w:val="006654CC"/>
    <w:rsid w:val="00672C28"/>
    <w:rsid w:val="00674DA2"/>
    <w:rsid w:val="00685798"/>
    <w:rsid w:val="00690C85"/>
    <w:rsid w:val="00691CD9"/>
    <w:rsid w:val="006B062B"/>
    <w:rsid w:val="006E2A78"/>
    <w:rsid w:val="00734E8B"/>
    <w:rsid w:val="00736774"/>
    <w:rsid w:val="00736DC9"/>
    <w:rsid w:val="007420AC"/>
    <w:rsid w:val="00750906"/>
    <w:rsid w:val="00757863"/>
    <w:rsid w:val="007647A3"/>
    <w:rsid w:val="00781CA7"/>
    <w:rsid w:val="007D0B57"/>
    <w:rsid w:val="007D5436"/>
    <w:rsid w:val="007E02D2"/>
    <w:rsid w:val="007E10D1"/>
    <w:rsid w:val="007F481F"/>
    <w:rsid w:val="008075BF"/>
    <w:rsid w:val="00824EF8"/>
    <w:rsid w:val="00837047"/>
    <w:rsid w:val="008457FC"/>
    <w:rsid w:val="00861C8A"/>
    <w:rsid w:val="0086304C"/>
    <w:rsid w:val="00873253"/>
    <w:rsid w:val="0087583E"/>
    <w:rsid w:val="00876AE6"/>
    <w:rsid w:val="008774EA"/>
    <w:rsid w:val="00882D1D"/>
    <w:rsid w:val="008A73DD"/>
    <w:rsid w:val="008D343F"/>
    <w:rsid w:val="008F144C"/>
    <w:rsid w:val="00907E34"/>
    <w:rsid w:val="00916B49"/>
    <w:rsid w:val="00921D57"/>
    <w:rsid w:val="00933DDA"/>
    <w:rsid w:val="009523F0"/>
    <w:rsid w:val="0096027D"/>
    <w:rsid w:val="00961486"/>
    <w:rsid w:val="00966B3C"/>
    <w:rsid w:val="00972C74"/>
    <w:rsid w:val="00973AE4"/>
    <w:rsid w:val="00997902"/>
    <w:rsid w:val="009C14B8"/>
    <w:rsid w:val="009E3D43"/>
    <w:rsid w:val="009E5910"/>
    <w:rsid w:val="009F0F16"/>
    <w:rsid w:val="009F222E"/>
    <w:rsid w:val="009F4DDA"/>
    <w:rsid w:val="00A044F5"/>
    <w:rsid w:val="00A05C38"/>
    <w:rsid w:val="00A3232A"/>
    <w:rsid w:val="00A35A6F"/>
    <w:rsid w:val="00A4420D"/>
    <w:rsid w:val="00A46CB2"/>
    <w:rsid w:val="00A61948"/>
    <w:rsid w:val="00A63F79"/>
    <w:rsid w:val="00A716D9"/>
    <w:rsid w:val="00A71B2D"/>
    <w:rsid w:val="00A81627"/>
    <w:rsid w:val="00A93EDA"/>
    <w:rsid w:val="00A97BDA"/>
    <w:rsid w:val="00AE11CA"/>
    <w:rsid w:val="00AF447E"/>
    <w:rsid w:val="00B04ECC"/>
    <w:rsid w:val="00B0692A"/>
    <w:rsid w:val="00B11A07"/>
    <w:rsid w:val="00B26231"/>
    <w:rsid w:val="00B569EB"/>
    <w:rsid w:val="00B57EBC"/>
    <w:rsid w:val="00B63CD0"/>
    <w:rsid w:val="00B65DFD"/>
    <w:rsid w:val="00B77E9C"/>
    <w:rsid w:val="00B91603"/>
    <w:rsid w:val="00BA2CDB"/>
    <w:rsid w:val="00BA697F"/>
    <w:rsid w:val="00BB2903"/>
    <w:rsid w:val="00BB6DE0"/>
    <w:rsid w:val="00BD045E"/>
    <w:rsid w:val="00C22C82"/>
    <w:rsid w:val="00C2482D"/>
    <w:rsid w:val="00C37564"/>
    <w:rsid w:val="00C45BD8"/>
    <w:rsid w:val="00C610E3"/>
    <w:rsid w:val="00C65091"/>
    <w:rsid w:val="00C6516F"/>
    <w:rsid w:val="00C82505"/>
    <w:rsid w:val="00C94B72"/>
    <w:rsid w:val="00CA7F8A"/>
    <w:rsid w:val="00D03638"/>
    <w:rsid w:val="00D26046"/>
    <w:rsid w:val="00D267E8"/>
    <w:rsid w:val="00D345EB"/>
    <w:rsid w:val="00D37B3A"/>
    <w:rsid w:val="00D41041"/>
    <w:rsid w:val="00D44084"/>
    <w:rsid w:val="00D71505"/>
    <w:rsid w:val="00D721F3"/>
    <w:rsid w:val="00D727DF"/>
    <w:rsid w:val="00D76938"/>
    <w:rsid w:val="00D83A1A"/>
    <w:rsid w:val="00D97789"/>
    <w:rsid w:val="00E00453"/>
    <w:rsid w:val="00E11FA2"/>
    <w:rsid w:val="00E6243B"/>
    <w:rsid w:val="00E62896"/>
    <w:rsid w:val="00E736ED"/>
    <w:rsid w:val="00E91E8C"/>
    <w:rsid w:val="00E93BD1"/>
    <w:rsid w:val="00E96957"/>
    <w:rsid w:val="00EA4ECF"/>
    <w:rsid w:val="00EA7FDB"/>
    <w:rsid w:val="00EB0C0B"/>
    <w:rsid w:val="00EC6719"/>
    <w:rsid w:val="00EC7B39"/>
    <w:rsid w:val="00EF4038"/>
    <w:rsid w:val="00F149CB"/>
    <w:rsid w:val="00F30522"/>
    <w:rsid w:val="00F421CC"/>
    <w:rsid w:val="00F56B71"/>
    <w:rsid w:val="00F57171"/>
    <w:rsid w:val="00F63210"/>
    <w:rsid w:val="00F83081"/>
    <w:rsid w:val="00F8383D"/>
    <w:rsid w:val="00F855E3"/>
    <w:rsid w:val="00F85CEC"/>
    <w:rsid w:val="00F9549B"/>
    <w:rsid w:val="00FA52D6"/>
    <w:rsid w:val="00FC3475"/>
    <w:rsid w:val="00FC6ED9"/>
    <w:rsid w:val="011B1707"/>
    <w:rsid w:val="02393F20"/>
    <w:rsid w:val="029265FC"/>
    <w:rsid w:val="030B58BF"/>
    <w:rsid w:val="03545C9A"/>
    <w:rsid w:val="037E0D1B"/>
    <w:rsid w:val="03BA6185"/>
    <w:rsid w:val="05AA797A"/>
    <w:rsid w:val="068A0E95"/>
    <w:rsid w:val="082D0330"/>
    <w:rsid w:val="082E7E18"/>
    <w:rsid w:val="09D37291"/>
    <w:rsid w:val="0ADC43E7"/>
    <w:rsid w:val="0E4E6C3C"/>
    <w:rsid w:val="0F023FA9"/>
    <w:rsid w:val="0FBB3E72"/>
    <w:rsid w:val="0FFC751B"/>
    <w:rsid w:val="10AE6FC7"/>
    <w:rsid w:val="11812ADA"/>
    <w:rsid w:val="11A010B5"/>
    <w:rsid w:val="121D2E5A"/>
    <w:rsid w:val="150E3233"/>
    <w:rsid w:val="1AA270AE"/>
    <w:rsid w:val="1BAF42D2"/>
    <w:rsid w:val="1BBA21B1"/>
    <w:rsid w:val="1BDC3654"/>
    <w:rsid w:val="1CA3347C"/>
    <w:rsid w:val="1E916AC7"/>
    <w:rsid w:val="1F794DF8"/>
    <w:rsid w:val="1F9F0968"/>
    <w:rsid w:val="20AF5858"/>
    <w:rsid w:val="20C12D48"/>
    <w:rsid w:val="2117523C"/>
    <w:rsid w:val="2168264A"/>
    <w:rsid w:val="227C27F0"/>
    <w:rsid w:val="254646E5"/>
    <w:rsid w:val="26174245"/>
    <w:rsid w:val="29AF75E4"/>
    <w:rsid w:val="2B5975F6"/>
    <w:rsid w:val="2C4A08ED"/>
    <w:rsid w:val="2CAA45DA"/>
    <w:rsid w:val="2D702671"/>
    <w:rsid w:val="2E5212CA"/>
    <w:rsid w:val="32B2554D"/>
    <w:rsid w:val="33DD70A5"/>
    <w:rsid w:val="34DC2802"/>
    <w:rsid w:val="362F46FC"/>
    <w:rsid w:val="36DC2E22"/>
    <w:rsid w:val="3A14479A"/>
    <w:rsid w:val="3B4F3C0C"/>
    <w:rsid w:val="3CBB48D6"/>
    <w:rsid w:val="3DF12CC9"/>
    <w:rsid w:val="3ED62B96"/>
    <w:rsid w:val="3FC620CD"/>
    <w:rsid w:val="421460C8"/>
    <w:rsid w:val="43833765"/>
    <w:rsid w:val="48BB3274"/>
    <w:rsid w:val="4A745EB4"/>
    <w:rsid w:val="4CCB5F45"/>
    <w:rsid w:val="4E33279F"/>
    <w:rsid w:val="4F1D2570"/>
    <w:rsid w:val="508F6A10"/>
    <w:rsid w:val="51C41C05"/>
    <w:rsid w:val="525B6F9B"/>
    <w:rsid w:val="527E6314"/>
    <w:rsid w:val="53856385"/>
    <w:rsid w:val="554743C5"/>
    <w:rsid w:val="57745FEF"/>
    <w:rsid w:val="5908372B"/>
    <w:rsid w:val="59D56836"/>
    <w:rsid w:val="5B5A24EC"/>
    <w:rsid w:val="5C6A7DB9"/>
    <w:rsid w:val="5CB71570"/>
    <w:rsid w:val="5E7B094C"/>
    <w:rsid w:val="5EE1754B"/>
    <w:rsid w:val="5F3A278A"/>
    <w:rsid w:val="5F737FFC"/>
    <w:rsid w:val="61233805"/>
    <w:rsid w:val="6173388D"/>
    <w:rsid w:val="61C334CF"/>
    <w:rsid w:val="61D73FA7"/>
    <w:rsid w:val="640E5C2C"/>
    <w:rsid w:val="64F06B1D"/>
    <w:rsid w:val="65A72D16"/>
    <w:rsid w:val="66450A13"/>
    <w:rsid w:val="67FC4EF5"/>
    <w:rsid w:val="69E00128"/>
    <w:rsid w:val="6A3647CD"/>
    <w:rsid w:val="6A6827CC"/>
    <w:rsid w:val="6A916857"/>
    <w:rsid w:val="6C6D00BC"/>
    <w:rsid w:val="6CDA262E"/>
    <w:rsid w:val="6CEF69DB"/>
    <w:rsid w:val="6D386C7A"/>
    <w:rsid w:val="6DD36373"/>
    <w:rsid w:val="6E94526A"/>
    <w:rsid w:val="6EB8481A"/>
    <w:rsid w:val="6F39588E"/>
    <w:rsid w:val="6F6669EE"/>
    <w:rsid w:val="6F801561"/>
    <w:rsid w:val="703650BC"/>
    <w:rsid w:val="717B45F7"/>
    <w:rsid w:val="71C75E8C"/>
    <w:rsid w:val="734871CA"/>
    <w:rsid w:val="75405CC6"/>
    <w:rsid w:val="759D410F"/>
    <w:rsid w:val="75E55280"/>
    <w:rsid w:val="77142274"/>
    <w:rsid w:val="79F94BE9"/>
    <w:rsid w:val="7AFB663E"/>
    <w:rsid w:val="7BF01F78"/>
    <w:rsid w:val="7C25685C"/>
    <w:rsid w:val="7C5C2A2B"/>
    <w:rsid w:val="7D9D72E5"/>
    <w:rsid w:val="7E356140"/>
    <w:rsid w:val="7E5C4E51"/>
    <w:rsid w:val="7FAC1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qFormat="1" w:unhideWhenUsed="0" w:uiPriority="0" w:semiHidden="0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3"/>
    <w:link w:val="21"/>
    <w:qFormat/>
    <w:uiPriority w:val="9"/>
    <w:pPr>
      <w:keepNext/>
      <w:keepLines/>
      <w:widowControl/>
      <w:spacing w:before="480" w:line="360" w:lineRule="auto"/>
      <w:jc w:val="left"/>
      <w:outlineLvl w:val="0"/>
    </w:pPr>
    <w:rPr>
      <w:rFonts w:eastAsia="黑体" w:asciiTheme="majorHAnsi" w:hAnsiTheme="majorHAnsi" w:cstheme="majorBidi"/>
      <w:bCs/>
      <w:kern w:val="0"/>
      <w:sz w:val="32"/>
      <w:szCs w:val="28"/>
      <w:lang w:eastAsia="en-US" w:bidi="en-US"/>
    </w:rPr>
  </w:style>
  <w:style w:type="paragraph" w:styleId="4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3"/>
    <w:link w:val="30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6">
    <w:name w:val="heading 4"/>
    <w:basedOn w:val="1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8">
    <w:name w:val="Default Paragraph Font"/>
    <w:semiHidden/>
    <w:unhideWhenUsed/>
    <w:uiPriority w:val="1"/>
  </w:style>
  <w:style w:type="table" w:default="1" w:styleId="1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basedOn w:val="1"/>
    <w:qFormat/>
    <w:uiPriority w:val="0"/>
    <w:pPr>
      <w:kinsoku w:val="0"/>
      <w:spacing w:line="400" w:lineRule="atLeast"/>
      <w:ind w:firstLine="200" w:firstLineChars="200"/>
    </w:pPr>
    <w:rPr>
      <w:rFonts w:ascii="Times New Roman" w:hAnsi="Times New Roman" w:eastAsia="宋体" w:cs="Times New Roman"/>
      <w:szCs w:val="21"/>
      <w:lang w:val="en-GB"/>
    </w:rPr>
  </w:style>
  <w:style w:type="paragraph" w:styleId="7">
    <w:name w:val="Body Text"/>
    <w:basedOn w:val="1"/>
    <w:qFormat/>
    <w:uiPriority w:val="1"/>
    <w:pPr>
      <w:ind w:firstLine="480" w:firstLineChars="200"/>
    </w:pPr>
    <w:rPr>
      <w:rFonts w:ascii="宋体" w:hAnsi="宋体" w:eastAsia="宋体" w:cs="宋体"/>
      <w:sz w:val="24"/>
      <w:szCs w:val="24"/>
      <w:lang w:val="zh-CN" w:bidi="zh-CN"/>
    </w:rPr>
  </w:style>
  <w:style w:type="paragraph" w:styleId="8">
    <w:name w:val="Body Text Indent"/>
    <w:basedOn w:val="1"/>
    <w:link w:val="22"/>
    <w:qFormat/>
    <w:uiPriority w:val="0"/>
    <w:pPr>
      <w:spacing w:line="360" w:lineRule="auto"/>
      <w:ind w:firstLine="200" w:firstLineChars="200"/>
      <w:jc w:val="left"/>
    </w:pPr>
    <w:rPr>
      <w:rFonts w:ascii="宋体" w:hAnsi="宋体" w:eastAsia="宋体" w:cs="Times New Roman"/>
      <w:sz w:val="24"/>
      <w:szCs w:val="24"/>
    </w:rPr>
  </w:style>
  <w:style w:type="paragraph" w:styleId="9">
    <w:name w:val="Balloon Text"/>
    <w:basedOn w:val="1"/>
    <w:link w:val="38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semiHidden/>
    <w:unhideWhenUsed/>
    <w:qFormat/>
    <w:uiPriority w:val="39"/>
  </w:style>
  <w:style w:type="paragraph" w:styleId="13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5">
    <w:name w:val="Title"/>
    <w:basedOn w:val="1"/>
    <w:qFormat/>
    <w:uiPriority w:val="99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table" w:styleId="17">
    <w:name w:val="Table Grid"/>
    <w:basedOn w:val="1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basedOn w:val="18"/>
    <w:qFormat/>
    <w:uiPriority w:val="22"/>
    <w:rPr>
      <w:b/>
    </w:rPr>
  </w:style>
  <w:style w:type="character" w:styleId="20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1 Char"/>
    <w:basedOn w:val="18"/>
    <w:link w:val="2"/>
    <w:qFormat/>
    <w:uiPriority w:val="9"/>
    <w:rPr>
      <w:rFonts w:eastAsia="黑体" w:asciiTheme="majorHAnsi" w:hAnsiTheme="majorHAnsi" w:cstheme="majorBidi"/>
      <w:bCs/>
      <w:kern w:val="0"/>
      <w:sz w:val="32"/>
      <w:szCs w:val="28"/>
      <w:lang w:eastAsia="en-US" w:bidi="en-US"/>
    </w:rPr>
  </w:style>
  <w:style w:type="character" w:customStyle="1" w:styleId="22">
    <w:name w:val="正文文本缩进 Char"/>
    <w:basedOn w:val="18"/>
    <w:link w:val="8"/>
    <w:qFormat/>
    <w:uiPriority w:val="0"/>
    <w:rPr>
      <w:rFonts w:ascii="宋体" w:hAnsi="宋体" w:eastAsia="宋体" w:cs="Times New Roman"/>
      <w:sz w:val="24"/>
      <w:szCs w:val="24"/>
    </w:rPr>
  </w:style>
  <w:style w:type="character" w:customStyle="1" w:styleId="23">
    <w:name w:val="标题 2 Char"/>
    <w:basedOn w:val="18"/>
    <w:link w:val="4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4">
    <w:name w:val="页眉 Char"/>
    <w:basedOn w:val="18"/>
    <w:link w:val="11"/>
    <w:qFormat/>
    <w:uiPriority w:val="99"/>
    <w:rPr>
      <w:sz w:val="18"/>
      <w:szCs w:val="18"/>
    </w:rPr>
  </w:style>
  <w:style w:type="character" w:customStyle="1" w:styleId="25">
    <w:name w:val="页脚 Char"/>
    <w:basedOn w:val="18"/>
    <w:link w:val="10"/>
    <w:qFormat/>
    <w:uiPriority w:val="99"/>
    <w:rPr>
      <w:sz w:val="18"/>
      <w:szCs w:val="18"/>
    </w:rPr>
  </w:style>
  <w:style w:type="paragraph" w:styleId="26">
    <w:name w:val="List Paragraph"/>
    <w:basedOn w:val="1"/>
    <w:qFormat/>
    <w:uiPriority w:val="34"/>
    <w:pPr>
      <w:ind w:firstLine="420" w:firstLineChars="200"/>
    </w:pPr>
  </w:style>
  <w:style w:type="character" w:styleId="27">
    <w:name w:val="Placeholder Text"/>
    <w:basedOn w:val="18"/>
    <w:semiHidden/>
    <w:qFormat/>
    <w:uiPriority w:val="99"/>
    <w:rPr>
      <w:color w:val="808080"/>
    </w:rPr>
  </w:style>
  <w:style w:type="paragraph" w:styleId="28">
    <w:name w:val="No Spacing"/>
    <w:link w:val="29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29">
    <w:name w:val="无间隔 Char"/>
    <w:basedOn w:val="18"/>
    <w:link w:val="28"/>
    <w:qFormat/>
    <w:uiPriority w:val="1"/>
    <w:rPr>
      <w:kern w:val="0"/>
      <w:sz w:val="22"/>
    </w:rPr>
  </w:style>
  <w:style w:type="character" w:customStyle="1" w:styleId="30">
    <w:name w:val="标题 3 Char"/>
    <w:basedOn w:val="18"/>
    <w:link w:val="5"/>
    <w:semiHidden/>
    <w:qFormat/>
    <w:uiPriority w:val="9"/>
    <w:rPr>
      <w:b/>
      <w:bCs/>
      <w:sz w:val="32"/>
      <w:szCs w:val="32"/>
    </w:rPr>
  </w:style>
  <w:style w:type="paragraph" w:customStyle="1" w:styleId="31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2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3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34">
    <w:name w:val="Table Paragraph"/>
    <w:basedOn w:val="1"/>
    <w:qFormat/>
    <w:uiPriority w:val="1"/>
    <w:pPr>
      <w:spacing w:before="57"/>
      <w:jc w:val="center"/>
    </w:pPr>
    <w:rPr>
      <w:rFonts w:ascii="宋体" w:hAnsi="宋体" w:eastAsia="宋体" w:cs="宋体"/>
      <w:lang w:val="zh-CN" w:bidi="zh-CN"/>
    </w:rPr>
  </w:style>
  <w:style w:type="character" w:customStyle="1" w:styleId="35">
    <w:name w:val="font21"/>
    <w:basedOn w:val="18"/>
    <w:qFormat/>
    <w:uiPriority w:val="0"/>
    <w:rPr>
      <w:rFonts w:hint="default" w:ascii="Times New Roman" w:hAnsi="Times New Roman" w:cs="Times New Roman"/>
      <w:b/>
      <w:color w:val="000000"/>
      <w:sz w:val="24"/>
      <w:szCs w:val="24"/>
      <w:u w:val="none"/>
    </w:rPr>
  </w:style>
  <w:style w:type="character" w:customStyle="1" w:styleId="36">
    <w:name w:val="font11"/>
    <w:basedOn w:val="18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paragraph" w:customStyle="1" w:styleId="37">
    <w:name w:val="列出段落2"/>
    <w:basedOn w:val="1"/>
    <w:unhideWhenUsed/>
    <w:uiPriority w:val="99"/>
    <w:pPr>
      <w:ind w:firstLine="420" w:firstLineChars="200"/>
    </w:pPr>
  </w:style>
  <w:style w:type="character" w:customStyle="1" w:styleId="38">
    <w:name w:val="批注框文本 Char"/>
    <w:basedOn w:val="18"/>
    <w:link w:val="9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CoverPageProperties xmlns="http://schemas.microsoft.com/office/2006/coverPageProps">
  <PublishDate>2018-05-25T00:00:00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792</Words>
  <Characters>936</Characters>
  <Lines>12</Lines>
  <Paragraphs>3</Paragraphs>
  <TotalTime>14</TotalTime>
  <ScaleCrop>false</ScaleCrop>
  <LinksUpToDate>false</LinksUpToDate>
  <CharactersWithSpaces>1073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2021-11-17T03:39:00Z</dcterms:created>
  <dc:creator>sukie</dc:creator>
  <cp:lastModifiedBy>芭比隆</cp:lastModifiedBy>
  <cp:lastPrinted>2018-06-06T07:38:00Z</cp:lastPrinted>
  <dcterms:modified xsi:type="dcterms:W3CDTF">2026-02-25T03:52:56Z</dcterms:modified>
  <dc:title>ronglv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eyJoZGlkIjoiZTBhNDBlMjY1M2M5ZTA3NWY3NTFkNzFjZGQyYWY3YmQiLCJ1c2VySWQiOiI3NzYyMzU2NDcifQ==</vt:lpwstr>
  </property>
  <property fmtid="{D5CDD505-2E9C-101B-9397-08002B2CF9AE}" pid="4" name="ICV">
    <vt:lpwstr>33816AF089684EAAA0F2CD5FE3558C57_12</vt:lpwstr>
  </property>
</Properties>
</file>