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新体绿韵·基于低碳健康理念的校园体育空间建造与运维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围护结构提高12.8%或负荷降低16.7%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49.8%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59.0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91.0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总得分：Q=（Q0+Q1+Q2+Q3+Q4+Q5+QA）/10=99.4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