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63E45">
      <w:pPr>
        <w:jc w:val="center"/>
        <w:rPr/>
      </w:pPr>
      <w:r>
        <w:rPr>
          <w:rStyle w:val="40"/>
          <w:rFonts w:hint="default"/>
        </w:rPr>
        <w:t>森雾间·愈所雨水控制利用专项规划设计说明</w:t>
      </w:r>
      <w:r>
        <w:rPr>
          <w:rFonts w:hint="default"/>
        </w:rPr>
        <w:br w:type="textWrapping"/>
      </w:r>
      <w:r>
        <w:rPr>
          <w:rFonts w:hint="default"/>
        </w:rPr>
        <w:t>编制单位： 森雾间医疗管理（重庆）有限公司</w:t>
      </w:r>
      <w:r>
        <w:rPr>
          <w:rFonts w:hint="default"/>
        </w:rPr>
        <w:br w:type="textWrapping"/>
      </w:r>
      <w:r>
        <w:rPr>
          <w:rFonts w:hint="default"/>
        </w:rPr>
        <w:t>编制日期： 2026年3月</w:t>
      </w:r>
    </w:p>
    <w:p w14:paraId="7C279072">
      <w:pPr>
        <w:rPr>
          <w:rFonts w:hint="default"/>
          <w:b/>
          <w:bCs/>
        </w:rPr>
      </w:pPr>
      <w:r>
        <w:rPr>
          <w:rFonts w:hint="default"/>
          <w:b/>
          <w:bCs/>
        </w:rPr>
        <w:t>一、项目概况</w:t>
      </w:r>
    </w:p>
    <w:p w14:paraId="0AC5B916">
      <w:pPr>
        <w:rPr>
          <w:rFonts w:hint="default"/>
        </w:rPr>
      </w:pPr>
      <w:r>
        <w:rPr>
          <w:rFonts w:hint="default"/>
        </w:rPr>
        <w:t>本项目位于重庆市永川区中山路街道人民大道809号，总用地面积23369㎡，总建筑面积约35000㎡，包括门诊楼、住院楼、医技楼、行政后勤楼等。项目定位为三级综合医院，绿色建筑目标为二星级。</w:t>
      </w:r>
    </w:p>
    <w:p w14:paraId="2B6183E6">
      <w:pPr>
        <w:rPr>
          <w:rFonts w:hint="default"/>
          <w:b/>
          <w:bCs/>
        </w:rPr>
      </w:pPr>
      <w:r>
        <w:rPr>
          <w:rFonts w:hint="default"/>
          <w:b/>
          <w:bCs/>
        </w:rPr>
        <w:t>二、设计目标</w:t>
      </w:r>
    </w:p>
    <w:p w14:paraId="2958918C">
      <w:pPr>
        <w:rPr/>
      </w:pPr>
      <w:r>
        <w:rPr>
          <w:rFonts w:hint="default"/>
        </w:rPr>
        <w:t>年径流总量控制率：不低于70%（参考《重庆市海绵城市建设管理办法》及永川区要求）。</w:t>
      </w:r>
    </w:p>
    <w:p w14:paraId="3B5CDBB8">
      <w:pPr>
        <w:rPr/>
      </w:pPr>
      <w:r>
        <w:rPr>
          <w:rFonts w:hint="default"/>
        </w:rPr>
        <w:t>雨水利用量：年利用雨水不低于1500m³，替代自来水用于绿化浇洒、道路冲洗。</w:t>
      </w:r>
    </w:p>
    <w:p w14:paraId="6761ACFC">
      <w:pPr>
        <w:rPr/>
      </w:pPr>
      <w:r>
        <w:rPr>
          <w:rFonts w:hint="default"/>
        </w:rPr>
        <w:t>外排径流峰值削减：设计重现期下，外排峰值流量削减不小于20%。</w:t>
      </w:r>
    </w:p>
    <w:p w14:paraId="1C36A577">
      <w:pPr>
        <w:rPr/>
      </w:pPr>
      <w:r>
        <w:rPr>
          <w:rFonts w:hint="default"/>
        </w:rPr>
        <w:t>面源污染控制：初期雨水弃流+沉淀过滤，SS去除率≥60%。</w:t>
      </w:r>
    </w:p>
    <w:p w14:paraId="25D04DA5">
      <w:pPr>
        <w:rPr>
          <w:rFonts w:hint="default"/>
          <w:b/>
          <w:bCs/>
        </w:rPr>
      </w:pPr>
      <w:r>
        <w:rPr>
          <w:rFonts w:hint="default"/>
          <w:b/>
          <w:bCs/>
        </w:rPr>
        <w:t>三、雨水控制系统总体架构</w:t>
      </w:r>
    </w:p>
    <w:p w14:paraId="2D28C27B">
      <w:pPr>
        <w:rPr>
          <w:rFonts w:hint="default"/>
        </w:rPr>
      </w:pPr>
      <w:r>
        <w:rPr>
          <w:rFonts w:hint="default"/>
        </w:rPr>
        <w:t>雨水控制利用系统采用“源头削减—过程控制—末端调蓄利用”相结合的方式，由以下子系统构成：</w:t>
      </w:r>
    </w:p>
    <w:p w14:paraId="3BF7AF9C">
      <w:pPr>
        <w:rPr/>
      </w:pPr>
      <w:r>
        <w:rPr>
          <w:rFonts w:hint="default"/>
        </w:rPr>
        <w:t>雨水收集系统：屋面雨水（重力流）+地面雨水（雨水口）</w:t>
      </w:r>
    </w:p>
    <w:p w14:paraId="18D7AB57">
      <w:pPr>
        <w:rPr/>
      </w:pPr>
      <w:r>
        <w:rPr>
          <w:rFonts w:hint="default"/>
        </w:rPr>
        <w:t>初期弃流系统：弃流装置（弃流前2~5mm）</w:t>
      </w:r>
    </w:p>
    <w:p w14:paraId="297DC14F">
      <w:pPr>
        <w:rPr/>
      </w:pPr>
      <w:r>
        <w:rPr>
          <w:rFonts w:hint="default"/>
        </w:rPr>
        <w:t>调蓄池系统：地下式钢筋混凝土调蓄池，有效容积200m³</w:t>
      </w:r>
    </w:p>
    <w:p w14:paraId="651C5D8E">
      <w:pPr>
        <w:rPr/>
      </w:pPr>
      <w:r>
        <w:rPr>
          <w:rFonts w:hint="default"/>
        </w:rPr>
        <w:t>处理利用系统：过滤→消毒→清水池→供水泵→绿化/道路用水点</w:t>
      </w:r>
    </w:p>
    <w:p w14:paraId="7CF080FF">
      <w:pPr>
        <w:rPr/>
      </w:pPr>
      <w:r>
        <w:rPr>
          <w:rFonts w:hint="default"/>
        </w:rPr>
        <w:t>溢流排放系统：调蓄池满水后溢流至市政雨水管网</w:t>
      </w:r>
    </w:p>
    <w:p w14:paraId="10370641">
      <w:pPr>
        <w:rPr>
          <w:rFonts w:hint="default"/>
          <w:b/>
          <w:bCs/>
        </w:rPr>
      </w:pPr>
      <w:r>
        <w:rPr>
          <w:rFonts w:hint="default"/>
          <w:b/>
          <w:bCs/>
        </w:rPr>
        <w:t>四、各子系统详细设计</w:t>
      </w:r>
    </w:p>
    <w:p w14:paraId="76CDB036">
      <w:pPr>
        <w:rPr>
          <w:rFonts w:hint="default"/>
          <w:b/>
          <w:bCs/>
        </w:rPr>
      </w:pPr>
      <w:r>
        <w:rPr>
          <w:rFonts w:hint="default"/>
          <w:b/>
          <w:bCs/>
        </w:rPr>
        <w:t>4.1 雨水收集系统</w:t>
      </w:r>
    </w:p>
    <w:p w14:paraId="09571735">
      <w:pPr>
        <w:rPr/>
      </w:pPr>
      <w:r>
        <w:rPr>
          <w:rFonts w:hint="default"/>
        </w:rPr>
        <w:t>屋面雨水：门诊楼、住院楼、医技楼等屋面面积约12000㎡，设置87型雨水斗，重力流雨水管（UPVC，DN100~DN150），汇水后接入雨水调蓄池前池。</w:t>
      </w:r>
    </w:p>
    <w:p w14:paraId="245724B7">
      <w:pPr>
        <w:rPr/>
      </w:pPr>
      <w:r>
        <w:rPr>
          <w:rFonts w:hint="default"/>
        </w:rPr>
        <w:t>地面雨水：道路、广场雨水经雨水口收集，初期部分通过透水铺装下渗，其余排入雨水管网，其中部分（非初期）可溢流至调蓄池。</w:t>
      </w:r>
    </w:p>
    <w:p w14:paraId="56DEA9F5">
      <w:pPr>
        <w:rPr/>
      </w:pPr>
      <w:r>
        <w:rPr>
          <w:rFonts w:hint="default"/>
        </w:rPr>
        <w:t>透水铺装：人行道、部分停车场采用透水砖（面积约3500㎡），透水混凝土基层，下渗雨水补充地下水。</w:t>
      </w:r>
    </w:p>
    <w:p w14:paraId="1EA8CB2C">
      <w:pPr>
        <w:rPr>
          <w:rFonts w:hint="default"/>
          <w:b/>
          <w:bCs/>
        </w:rPr>
      </w:pPr>
      <w:r>
        <w:rPr>
          <w:rFonts w:hint="default"/>
          <w:b/>
          <w:bCs/>
        </w:rPr>
        <w:t>4.2 初期弃流系统</w:t>
      </w:r>
    </w:p>
    <w:p w14:paraId="507CE75E">
      <w:pPr>
        <w:rPr/>
      </w:pPr>
      <w:r>
        <w:rPr>
          <w:rFonts w:hint="default"/>
        </w:rPr>
        <w:t>弃流装置：在雨水管接入调蓄池前设置流量型初期弃流装置。</w:t>
      </w:r>
    </w:p>
    <w:p w14:paraId="3A425D0B">
      <w:pPr>
        <w:rPr/>
      </w:pPr>
      <w:r>
        <w:rPr>
          <w:rFonts w:hint="default"/>
        </w:rPr>
        <w:t>弃流雨量：前2~5mm降雨（约2mm用于屋面，5mm用于地面）。</w:t>
      </w:r>
    </w:p>
    <w:p w14:paraId="19E5C32A">
      <w:pPr>
        <w:rPr/>
      </w:pPr>
      <w:r>
        <w:rPr>
          <w:rFonts w:hint="default"/>
        </w:rPr>
        <w:t>弃流去向：初期雨水排入污水管网（经化粪池后进入医疗污水处理站）。</w:t>
      </w:r>
    </w:p>
    <w:p w14:paraId="4847C142">
      <w:pPr>
        <w:rPr>
          <w:rFonts w:hint="default"/>
          <w:b/>
          <w:bCs/>
        </w:rPr>
      </w:pPr>
      <w:r>
        <w:rPr>
          <w:rFonts w:hint="default"/>
          <w:b/>
          <w:bCs/>
        </w:rPr>
        <w:t>4.3 雨水调蓄池</w:t>
      </w:r>
    </w:p>
    <w:p w14:paraId="6B52C44A">
      <w:pPr>
        <w:rPr/>
      </w:pPr>
      <w:r>
        <w:rPr>
          <w:rFonts w:hint="default"/>
        </w:rPr>
        <w:t>位置：场地西南角绿地地下（避开乔木根系及管线）。</w:t>
      </w:r>
    </w:p>
    <w:p w14:paraId="0467D627">
      <w:pPr>
        <w:rPr/>
      </w:pPr>
      <w:r>
        <w:rPr>
          <w:rFonts w:hint="default"/>
        </w:rPr>
        <w:t>结构：钢筋混凝土结构，有效容积200m³，平面尺寸10m×8m，净深2.5m。</w:t>
      </w:r>
    </w:p>
    <w:p w14:paraId="78F712D4">
      <w:pPr>
        <w:rPr/>
      </w:pPr>
      <w:r>
        <w:rPr>
          <w:rFonts w:hint="default"/>
        </w:rPr>
        <w:t>功能：储存屋面收集雨水，兼有沉淀作用；设置排泥槽及冲洗系统。</w:t>
      </w:r>
    </w:p>
    <w:p w14:paraId="2A30BB0E">
      <w:pPr>
        <w:rPr/>
      </w:pPr>
      <w:r>
        <w:rPr>
          <w:rFonts w:hint="default"/>
        </w:rPr>
        <w:t>进出水：进水由弃流装置后接入；出水经提升泵至处理设备；溢流口设于池顶，接市政雨水管。</w:t>
      </w:r>
    </w:p>
    <w:p w14:paraId="0C54FF8F">
      <w:pPr>
        <w:rPr>
          <w:rFonts w:hint="default"/>
          <w:b/>
          <w:bCs/>
        </w:rPr>
      </w:pPr>
      <w:r>
        <w:rPr>
          <w:rFonts w:hint="default"/>
          <w:b/>
          <w:bCs/>
        </w:rPr>
        <w:t>4.4 雨水处理利用系统</w:t>
      </w:r>
    </w:p>
    <w:p w14:paraId="16A2895C">
      <w:pPr>
        <w:rPr/>
      </w:pPr>
      <w:r>
        <w:rPr>
          <w:rFonts w:hint="default"/>
        </w:rPr>
        <w:t>工艺流程：调蓄池雨水 → 提升泵 → 石英砂过滤器 → 活性炭过滤器 → 紫外线消毒器 → 清水池（50m³） → 变频供水泵 → 绿化/道路用水点。</w:t>
      </w:r>
    </w:p>
    <w:p w14:paraId="39827613">
      <w:pPr>
        <w:rPr/>
      </w:pPr>
      <w:r>
        <w:rPr>
          <w:rFonts w:hint="default"/>
        </w:rPr>
        <w:t>处理能力：5m³/h。</w:t>
      </w:r>
    </w:p>
    <w:p w14:paraId="7A645C3D">
      <w:pPr>
        <w:rPr/>
      </w:pPr>
      <w:r>
        <w:rPr>
          <w:rFonts w:hint="default"/>
        </w:rPr>
        <w:t>出水水质：满足《城市污水再生利用 城市杂用水水质》（GB/T 18920-2020）绿化、道路冲洗标准。</w:t>
      </w:r>
    </w:p>
    <w:p w14:paraId="71720EB8">
      <w:pPr>
        <w:rPr/>
      </w:pPr>
      <w:r>
        <w:rPr>
          <w:rFonts w:hint="default"/>
        </w:rPr>
        <w:t>清水池：有效容积50m³，采用不锈钢材质，设溢流管、消毒投加口。</w:t>
      </w:r>
    </w:p>
    <w:p w14:paraId="2E6F78F3">
      <w:pPr>
        <w:rPr>
          <w:rFonts w:hint="default"/>
          <w:b/>
          <w:bCs/>
        </w:rPr>
      </w:pPr>
      <w:r>
        <w:rPr>
          <w:rFonts w:hint="default"/>
          <w:b/>
          <w:bCs/>
        </w:rPr>
        <w:t>4.5 雨水利用系统</w:t>
      </w:r>
    </w:p>
    <w:p w14:paraId="4A52D23A">
      <w:pPr>
        <w:rPr/>
      </w:pPr>
      <w:r>
        <w:rPr>
          <w:rFonts w:hint="default"/>
        </w:rPr>
        <w:t>绿化浇洒：绿地面积约5000㎡，采用微喷灌系统，用水定额2L/㎡·d，年需水量约1500m³（按非雨天150天计）。</w:t>
      </w:r>
    </w:p>
    <w:p w14:paraId="3836D892">
      <w:pPr>
        <w:rPr/>
      </w:pPr>
      <w:r>
        <w:rPr>
          <w:rFonts w:hint="default"/>
        </w:rPr>
        <w:t>道路冲洗：道路面积约2000㎡，采用高压冲洗车或固定冲洗设施，用水定额1L/㎡·次，年需水量约200m³。</w:t>
      </w:r>
    </w:p>
    <w:p w14:paraId="4530CFF3">
      <w:pPr>
        <w:rPr/>
      </w:pPr>
      <w:r>
        <w:rPr>
          <w:rFonts w:hint="default"/>
        </w:rPr>
        <w:t>供水平衡：雨水利用量约1500m³/年，基本覆盖绿化用水，不足部分由自来水补充。</w:t>
      </w:r>
    </w:p>
    <w:p w14:paraId="19CE0C03">
      <w:pPr>
        <w:rPr>
          <w:rFonts w:hint="default"/>
          <w:b/>
          <w:bCs/>
        </w:rPr>
      </w:pPr>
      <w:r>
        <w:rPr>
          <w:rFonts w:hint="default"/>
          <w:b/>
          <w:bCs/>
        </w:rPr>
        <w:t>4.6 溢流排放系统</w:t>
      </w:r>
    </w:p>
    <w:p w14:paraId="38CAD71A">
      <w:pPr>
        <w:rPr/>
      </w:pPr>
      <w:r>
        <w:rPr>
          <w:rFonts w:hint="default"/>
        </w:rPr>
        <w:t>溢流设计：调蓄池设溢流管（DN300），溢流口高程高于最高水位0.2m。</w:t>
      </w:r>
    </w:p>
    <w:p w14:paraId="4F802643">
      <w:pPr>
        <w:rPr/>
      </w:pPr>
      <w:r>
        <w:rPr>
          <w:rFonts w:hint="default"/>
        </w:rPr>
        <w:t>排放标准：设计重现期P=5年，溢流雨水排入市政雨水管。</w:t>
      </w:r>
    </w:p>
    <w:p w14:paraId="0A9BB4AC">
      <w:pPr>
        <w:rPr/>
      </w:pPr>
      <w:r>
        <w:rPr>
          <w:rFonts w:hint="default"/>
        </w:rPr>
        <w:t>与海绵城市衔接：溢流管接入市政管网前设置检查井及防倒流装置。</w:t>
      </w:r>
    </w:p>
    <w:p w14:paraId="28B5FF1B">
      <w:pPr>
        <w:rPr>
          <w:rFonts w:hint="default"/>
          <w:b/>
          <w:bCs/>
        </w:rPr>
      </w:pPr>
      <w:r>
        <w:rPr>
          <w:rFonts w:hint="default"/>
          <w:b/>
          <w:bCs/>
        </w:rPr>
        <w:t>五、维护管理要求</w:t>
      </w:r>
    </w:p>
    <w:p w14:paraId="3B946910">
      <w:pPr>
        <w:rPr/>
      </w:pPr>
      <w:r>
        <w:rPr>
          <w:rFonts w:hint="default"/>
        </w:rPr>
        <w:t>定期检查雨水斗、弃流装置，每年汛前清理。</w:t>
      </w:r>
    </w:p>
    <w:p w14:paraId="026308BE">
      <w:pPr>
        <w:rPr/>
      </w:pPr>
      <w:r>
        <w:rPr>
          <w:rFonts w:hint="default"/>
        </w:rPr>
        <w:t>调蓄池每年清淤一次，检查进出水管。</w:t>
      </w:r>
    </w:p>
    <w:p w14:paraId="7CC96A1A">
      <w:pPr>
        <w:rPr/>
      </w:pPr>
      <w:r>
        <w:rPr>
          <w:rFonts w:hint="default"/>
        </w:rPr>
        <w:t>过滤设备按产品要求反冲洗，紫外线灯管每8000小时更换。</w:t>
      </w:r>
    </w:p>
    <w:p w14:paraId="435FF557">
      <w:pPr>
        <w:rPr/>
      </w:pPr>
      <w:r>
        <w:rPr>
          <w:rFonts w:hint="default"/>
        </w:rPr>
        <w:t>清水池每半年清洗消毒一次。</w:t>
      </w:r>
    </w:p>
    <w:p w14:paraId="2651137A">
      <w:pPr>
        <w:rPr/>
      </w:pPr>
      <w:r>
        <w:rPr>
          <w:rFonts w:hint="default"/>
        </w:rPr>
        <w:t>建立运行维护台账。</w:t>
      </w:r>
    </w:p>
    <w:p w14:paraId="629790FB">
      <w:pPr>
        <w:rPr/>
      </w:pPr>
      <w:bookmarkStart w:id="0" w:name="_GoBack"/>
      <w:bookmarkEnd w:id="0"/>
    </w:p>
    <w:p w14:paraId="74B945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+西文标题">
    <w:altName w:val="Almonte Sno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文标题">
    <w:altName w:val="Almonte Sno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lmonte Snow">
    <w:panose1 w:val="02000400000000000000"/>
    <w:charset w:val="00"/>
    <w:family w:val="auto"/>
    <w:pitch w:val="default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CE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20" w:afterLines="20" w:line="288" w:lineRule="auto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Lines="0" w:beforeAutospacing="0" w:after="80" w:afterLines="80" w:afterAutospacing="0" w:line="288" w:lineRule="auto"/>
      <w:outlineLvl w:val="0"/>
    </w:pPr>
    <w:rPr>
      <w:b/>
      <w:bCs/>
      <w:kern w:val="44"/>
      <w:sz w:val="36"/>
      <w:szCs w:val="36"/>
    </w:rPr>
  </w:style>
  <w:style w:type="paragraph" w:styleId="3">
    <w:name w:val="heading 2"/>
    <w:basedOn w:val="1"/>
    <w:next w:val="1"/>
    <w:link w:val="40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2"/>
    </w:pPr>
    <w:rPr>
      <w:b/>
      <w:bCs/>
      <w:sz w:val="30"/>
      <w:szCs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4"/>
    </w:pPr>
    <w:rPr>
      <w:b/>
      <w:bCs/>
    </w:rPr>
  </w:style>
  <w:style w:type="paragraph" w:styleId="8">
    <w:name w:val="heading 6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5"/>
    </w:pPr>
    <w:rPr>
      <w:rFonts w:asciiTheme="minorAscii" w:hAnsiTheme="minorAscii" w:eastAsiaTheme="minorEastAsia"/>
      <w:b/>
      <w:bCs/>
    </w:rPr>
  </w:style>
  <w:style w:type="paragraph" w:styleId="9">
    <w:name w:val="heading 7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6"/>
    </w:pPr>
    <w:rPr>
      <w:rFonts w:asciiTheme="minorAscii" w:hAnsiTheme="minorAscii" w:eastAsiaTheme="minorEastAsia"/>
      <w:b/>
      <w:bCs/>
    </w:rPr>
  </w:style>
  <w:style w:type="paragraph" w:styleId="10">
    <w:name w:val="heading 8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7"/>
    </w:pPr>
    <w:rPr>
      <w:rFonts w:asciiTheme="minorAscii" w:hAnsiTheme="minorAscii" w:eastAsiaTheme="minorEastAsia"/>
      <w:b/>
      <w:bCs/>
    </w:rPr>
  </w:style>
  <w:style w:type="paragraph" w:styleId="11">
    <w:name w:val="heading 9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8"/>
    </w:pPr>
    <w:rPr>
      <w:rFonts w:asciiTheme="minorAscii" w:hAnsiTheme="minorAscii" w:eastAsiaTheme="minorEastAsia"/>
      <w:b/>
      <w:bCs/>
      <w:sz w:val="24"/>
    </w:rPr>
  </w:style>
  <w:style w:type="character" w:default="1" w:styleId="31">
    <w:name w:val="Default Paragraph Font"/>
    <w:semiHidden/>
    <w:qFormat/>
    <w:uiPriority w:val="0"/>
  </w:style>
  <w:style w:type="table" w:default="1" w:styleId="3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styleId="12">
    <w:name w:val="caption"/>
    <w:basedOn w:val="1"/>
    <w:next w:val="1"/>
    <w:unhideWhenUsed/>
    <w:qFormat/>
    <w:uiPriority w:val="0"/>
    <w:pPr>
      <w:ind w:firstLine="0" w:firstLineChars="0"/>
    </w:pPr>
    <w:rPr>
      <w:rFonts w:cs="Times New Roman" w:asciiTheme="minorAscii" w:hAnsiTheme="minorAscii" w:eastAsiaTheme="minorEastAsia"/>
      <w:sz w:val="24"/>
    </w:rPr>
  </w:style>
  <w:style w:type="paragraph" w:styleId="13">
    <w:name w:val="annotation text"/>
    <w:basedOn w:val="1"/>
    <w:qFormat/>
    <w:uiPriority w:val="0"/>
    <w:pPr>
      <w:jc w:val="lef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4">
    <w:name w:val="Salutation"/>
    <w:basedOn w:val="1"/>
    <w:next w:val="1"/>
    <w:qFormat/>
    <w:uiPriority w:val="0"/>
  </w:style>
  <w:style w:type="paragraph" w:styleId="15">
    <w:name w:val="toc 3"/>
    <w:basedOn w:val="1"/>
    <w:next w:val="1"/>
    <w:qFormat/>
    <w:uiPriority w:val="0"/>
    <w:pPr>
      <w:ind w:left="840" w:leftChars="400"/>
    </w:pPr>
  </w:style>
  <w:style w:type="paragraph" w:styleId="16">
    <w:name w:val="Date"/>
    <w:basedOn w:val="1"/>
    <w:next w:val="1"/>
    <w:qFormat/>
    <w:uiPriority w:val="0"/>
    <w:pPr>
      <w:ind w:firstLine="0" w:firstLineChars="0"/>
      <w:jc w:val="righ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7">
    <w:name w:val="endnote text"/>
    <w:basedOn w:val="1"/>
    <w:qFormat/>
    <w:uiPriority w:val="0"/>
    <w:pPr>
      <w:jc w:val="lef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8">
    <w:name w:val="Balloon Text"/>
    <w:basedOn w:val="1"/>
    <w:qFormat/>
    <w:uiPriority w:val="0"/>
    <w:rPr>
      <w:sz w:val="18"/>
      <w:szCs w:val="18"/>
    </w:rPr>
  </w:style>
  <w:style w:type="paragraph" w:styleId="19">
    <w:name w:val="footer"/>
    <w:basedOn w:val="1"/>
    <w:qFormat/>
    <w:uiPriority w:val="0"/>
    <w:pPr>
      <w:tabs>
        <w:tab w:val="center" w:pos="4153"/>
        <w:tab w:val="right" w:pos="8306"/>
      </w:tabs>
      <w:ind w:firstLine="0" w:firstLineChars="0"/>
      <w:jc w:val="left"/>
    </w:pPr>
    <w:rPr>
      <w:sz w:val="18"/>
      <w:szCs w:val="18"/>
    </w:rPr>
  </w:style>
  <w:style w:type="paragraph" w:styleId="2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paragraph" w:styleId="21">
    <w:name w:val="Signature"/>
    <w:basedOn w:val="1"/>
    <w:qFormat/>
    <w:uiPriority w:val="0"/>
    <w:pPr>
      <w:ind w:firstLine="0" w:firstLineChars="0"/>
      <w:jc w:val="righ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2">
    <w:name w:val="toc 1"/>
    <w:basedOn w:val="1"/>
    <w:next w:val="1"/>
    <w:qFormat/>
    <w:uiPriority w:val="0"/>
  </w:style>
  <w:style w:type="paragraph" w:styleId="23">
    <w:name w:val="Subtitle"/>
    <w:basedOn w:val="1"/>
    <w:next w:val="7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Theme="majorAscii" w:hAnsiTheme="majorAscii" w:eastAsiaTheme="majorEastAsia"/>
      <w:b/>
      <w:kern w:val="28"/>
      <w:sz w:val="32"/>
      <w:szCs w:val="32"/>
    </w:rPr>
  </w:style>
  <w:style w:type="paragraph" w:styleId="24">
    <w:name w:val="footnote text"/>
    <w:basedOn w:val="1"/>
    <w:qFormat/>
    <w:uiPriority w:val="0"/>
    <w:pPr>
      <w:jc w:val="left"/>
    </w:pPr>
    <w:rPr>
      <w:rFonts w:asciiTheme="minorAscii" w:hAnsiTheme="minorAscii" w:eastAsiaTheme="minorEastAsia"/>
      <w:sz w:val="24"/>
      <w:szCs w:val="24"/>
    </w:rPr>
  </w:style>
  <w:style w:type="paragraph" w:styleId="25">
    <w:name w:val="toc 2"/>
    <w:basedOn w:val="1"/>
    <w:next w:val="1"/>
    <w:qFormat/>
    <w:uiPriority w:val="0"/>
    <w:pPr>
      <w:ind w:left="420" w:leftChars="200"/>
    </w:pPr>
  </w:style>
  <w:style w:type="paragraph" w:styleId="26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27">
    <w:name w:val="Normal (Web)"/>
    <w:basedOn w:val="1"/>
    <w:qFormat/>
    <w:uiPriority w:val="0"/>
    <w:rPr>
      <w:sz w:val="24"/>
    </w:rPr>
  </w:style>
  <w:style w:type="paragraph" w:styleId="28">
    <w:name w:val="Title"/>
    <w:basedOn w:val="1"/>
    <w:qFormat/>
    <w:uiPriority w:val="0"/>
    <w:pPr>
      <w:adjustRightInd w:val="0"/>
      <w:snapToGrid w:val="0"/>
      <w:spacing w:beforeLines="0" w:beforeAutospacing="0" w:after="100" w:afterLines="100" w:afterAutospacing="0"/>
      <w:jc w:val="center"/>
      <w:outlineLvl w:val="0"/>
    </w:pPr>
    <w:rPr>
      <w:rFonts w:asciiTheme="majorAscii" w:hAnsiTheme="majorAscii" w:eastAsiaTheme="majorEastAsia"/>
      <w:b/>
      <w:bCs/>
      <w:sz w:val="44"/>
      <w:szCs w:val="44"/>
    </w:rPr>
  </w:style>
  <w:style w:type="paragraph" w:styleId="29">
    <w:name w:val="annotation subject"/>
    <w:basedOn w:val="13"/>
    <w:next w:val="13"/>
    <w:qFormat/>
    <w:uiPriority w:val="0"/>
    <w:rPr>
      <w:b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2">
    <w:name w:val="Strong"/>
    <w:basedOn w:val="31"/>
    <w:qFormat/>
    <w:uiPriority w:val="0"/>
    <w:rPr>
      <w:rFonts w:asciiTheme="minorAscii" w:hAnsiTheme="minorAscii" w:eastAsiaTheme="minorEastAsia"/>
      <w:b/>
    </w:rPr>
  </w:style>
  <w:style w:type="character" w:styleId="33">
    <w:name w:val="endnote reference"/>
    <w:basedOn w:val="31"/>
    <w:qFormat/>
    <w:uiPriority w:val="0"/>
    <w:rPr>
      <w:rFonts w:asciiTheme="minorAscii" w:hAnsiTheme="minorAscii" w:eastAsiaTheme="minorEastAsia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4">
    <w:name w:val="page number"/>
    <w:qFormat/>
    <w:uiPriority w:val="0"/>
    <w:rPr>
      <w:rFonts w:cs="Times New Roman" w:asciiTheme="minorAscii" w:hAnsiTheme="minorAscii" w:eastAsiaTheme="minorEastAsia"/>
      <w:color w:val="262626" w:themeColor="text1" w:themeTint="D9"/>
      <w:spacing w:val="-6"/>
      <w:kern w:val="2"/>
      <w:sz w:val="28"/>
      <w:szCs w:val="28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5">
    <w:name w:val="FollowedHyperlink"/>
    <w:basedOn w:val="31"/>
    <w:qFormat/>
    <w:uiPriority w:val="0"/>
    <w:rPr>
      <w:rFonts w:cs="Times New Roman" w:asciiTheme="minorAscii" w:hAnsiTheme="minorAscii" w:eastAsiaTheme="minorEastAsia"/>
      <w:color w:val="800080"/>
      <w:spacing w:val="-6"/>
      <w:kern w:val="2"/>
      <w:sz w:val="24"/>
      <w:szCs w:val="24"/>
      <w:u w:val="single"/>
      <w:lang w:val="en-US" w:eastAsia="zh-CN" w:bidi="ar-SA"/>
    </w:rPr>
  </w:style>
  <w:style w:type="character" w:styleId="36">
    <w:name w:val="Emphasis"/>
    <w:basedOn w:val="31"/>
    <w:qFormat/>
    <w:uiPriority w:val="0"/>
    <w:rPr>
      <w:i/>
    </w:rPr>
  </w:style>
  <w:style w:type="character" w:styleId="37">
    <w:name w:val="Hyperlink"/>
    <w:basedOn w:val="31"/>
    <w:qFormat/>
    <w:uiPriority w:val="0"/>
    <w:rPr>
      <w:rFonts w:cs="Times New Roman" w:asciiTheme="minorAscii" w:hAnsiTheme="minorAscii" w:eastAsiaTheme="minorEastAsia"/>
      <w:caps/>
      <w:color w:val="0000FF"/>
      <w:spacing w:val="-6"/>
      <w:kern w:val="2"/>
      <w:sz w:val="24"/>
      <w:szCs w:val="24"/>
      <w:u w:val="single"/>
      <w:lang w:val="en-US" w:eastAsia="zh-CN" w:bidi="ar-SA"/>
    </w:rPr>
  </w:style>
  <w:style w:type="character" w:styleId="38">
    <w:name w:val="annotation reference"/>
    <w:basedOn w:val="31"/>
    <w:qFormat/>
    <w:uiPriority w:val="0"/>
    <w:rPr>
      <w:rFonts w:asciiTheme="minorAscii" w:hAnsiTheme="minorAscii" w:eastAsiaTheme="minorEastAsia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9">
    <w:name w:val="footnote reference"/>
    <w:basedOn w:val="31"/>
    <w:qFormat/>
    <w:uiPriority w:val="0"/>
    <w:rPr>
      <w:rFonts w:asciiTheme="minorAscii" w:hAnsiTheme="minorAscii" w:eastAsiaTheme="minorEastAsia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0">
    <w:name w:val="标题 2 Char"/>
    <w:link w:val="3"/>
    <w:uiPriority w:val="0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2026-03-29T02:30:39Z</dcterms:created>
  <dc:creator>范晗雅</dc:creator>
  <cp:lastModifiedBy>无名氏本人</cp:lastModifiedBy>
  <dcterms:modified xsi:type="dcterms:W3CDTF">2026-03-29T02:32:59Z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eyJoZGlkIjoiYThlN2YzMGU5YjQ0NGZjY2UwYTg0NTFkOTY5ZTI3MmIiLCJ1c2VySWQiOiI4MTMyNDI1MjAifQ==</vt:lpwstr>
  </property>
  <property fmtid="{D5CDD505-2E9C-101B-9397-08002B2CF9AE}" pid="4" name="ICV">
    <vt:lpwstr>B45E00215ECF4323976F7084177A3DB4_12</vt:lpwstr>
  </property>
</Properties>
</file>