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4E38">
      <w:pPr>
        <w:jc w:val="center"/>
        <w:rPr>
          <w:rStyle w:val="40"/>
          <w:rFonts w:hint="eastAsia"/>
          <w:lang w:val="en-US" w:eastAsia="zh-CN"/>
        </w:rPr>
      </w:pPr>
      <w:r>
        <w:rPr>
          <w:rStyle w:val="40"/>
          <w:rFonts w:hint="eastAsia"/>
          <w:lang w:val="en-US" w:eastAsia="zh-CN"/>
        </w:rPr>
        <w:t>年径流总量控制率计算书</w:t>
      </w:r>
    </w:p>
    <w:p w14:paraId="63B63E45">
      <w:pPr>
        <w:jc w:val="left"/>
        <w:rPr/>
      </w:pPr>
      <w:r>
        <w:rPr>
          <w:rFonts w:hint="default"/>
        </w:rPr>
        <w:br w:type="textWrapping"/>
      </w:r>
      <w:r>
        <w:rPr>
          <w:rFonts w:hint="default"/>
        </w:rPr>
        <w:t>编制</w:t>
      </w:r>
      <w:r>
        <w:rPr>
          <w:rFonts w:hint="eastAsia"/>
          <w:lang w:val="en-US" w:eastAsia="zh-CN"/>
        </w:rPr>
        <w:t>依据</w:t>
      </w:r>
      <w:r>
        <w:rPr>
          <w:rFonts w:hint="default"/>
        </w:rPr>
        <w:t>：重庆地区多年平均逐日降雨资料（采用永川气象站1981-2020年数据，共约14600个雨日），通过径流控制模拟。</w:t>
      </w:r>
    </w:p>
    <w:p w14:paraId="7C279072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default"/>
          <w:b/>
          <w:bCs/>
        </w:rPr>
        <w:t>一、</w:t>
      </w:r>
      <w:r>
        <w:rPr>
          <w:rFonts w:hint="eastAsia"/>
          <w:b/>
          <w:bCs/>
          <w:lang w:val="en-US" w:eastAsia="zh-CN"/>
        </w:rPr>
        <w:t>计算原理</w:t>
      </w:r>
    </w:p>
    <w:p w14:paraId="4D4AC7E9">
      <w:pPr>
        <w:rPr>
          <w:rFonts w:hint="default"/>
        </w:rPr>
      </w:pPr>
      <w:r>
        <w:rPr>
          <w:rFonts w:hint="default"/>
        </w:rPr>
        <w:t>年径流总量控制率 = （年总降雨量 - 年外排径流总量）/ 年总降雨量。</w:t>
      </w:r>
    </w:p>
    <w:p w14:paraId="12B60B2C">
      <w:pPr>
        <w:rPr>
          <w:rFonts w:hint="default"/>
        </w:rPr>
      </w:pPr>
      <w:r>
        <w:rPr>
          <w:rFonts w:hint="default"/>
        </w:rPr>
        <w:t>采用典型年法，选取重庆市永川区典型降雨年（2015年）逐日降雨数据，以设计调蓄容积250m³为控制目标，计算全年能够实现“不外排”的降雨场次及其对应降雨总量，得到控制率。</w:t>
      </w:r>
    </w:p>
    <w:p w14:paraId="2B6183E6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default"/>
          <w:b/>
          <w:bCs/>
        </w:rPr>
        <w:t>二、</w:t>
      </w:r>
      <w:r>
        <w:rPr>
          <w:rFonts w:hint="eastAsia"/>
          <w:b/>
          <w:bCs/>
          <w:lang w:val="en-US" w:eastAsia="zh-CN"/>
        </w:rPr>
        <w:t>调蓄容积分配</w:t>
      </w:r>
    </w:p>
    <w:p w14:paraId="4A105253">
      <w:pPr>
        <w:rPr>
          <w:rFonts w:hint="default"/>
        </w:rPr>
      </w:pPr>
      <w:r>
        <w:rPr>
          <w:rFonts w:hint="default"/>
        </w:rPr>
        <w:t>250m³调蓄容积主要用于屋面及硬化地面汇水区（汇水面积约2.0ha，径流系数0.85）。</w:t>
      </w:r>
    </w:p>
    <w:p w14:paraId="2A3DB782">
      <w:pPr>
        <w:rPr>
          <w:rFonts w:hint="eastAsia" w:eastAsiaTheme="minorEastAsia"/>
          <w:lang w:eastAsia="zh-CN"/>
        </w:rPr>
      </w:pPr>
      <w:r>
        <w:rPr>
          <w:rFonts w:hint="default"/>
        </w:rPr>
        <w:t>等效控制降雨深度</w:t>
      </w:r>
      <w:r>
        <w:rPr>
          <w:rFonts w:hint="eastAsia"/>
          <w:lang w:eastAsia="zh-CN"/>
        </w:rPr>
        <w:t>：</w:t>
      </w:r>
    </w:p>
    <w:p w14:paraId="622DE35F">
      <w:r>
        <w:drawing>
          <wp:inline distT="0" distB="0" distL="114300" distR="114300">
            <wp:extent cx="4140200" cy="698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C5E3C">
      <w:pPr>
        <w:rPr>
          <w:rFonts w:hint="default"/>
        </w:rPr>
      </w:pPr>
      <w:r>
        <w:rPr>
          <w:rFonts w:hint="default"/>
        </w:rPr>
        <w:t>即对于屋面及硬化区域，单场降雨≤14.7mm时，可完全收纳不外排；超过部分溢流。</w:t>
      </w:r>
    </w:p>
    <w:p w14:paraId="25D04DA5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default"/>
          <w:b/>
          <w:bCs/>
        </w:rPr>
        <w:t>三、</w:t>
      </w:r>
      <w:r>
        <w:rPr>
          <w:rFonts w:hint="eastAsia"/>
          <w:b/>
          <w:bCs/>
          <w:lang w:val="en-US" w:eastAsia="zh-CN"/>
        </w:rPr>
        <w:t>控制率估算</w:t>
      </w:r>
    </w:p>
    <w:p w14:paraId="72D7FF91">
      <w:pPr>
        <w:rPr>
          <w:rFonts w:hint="default"/>
        </w:rPr>
      </w:pPr>
      <w:r>
        <w:rPr>
          <w:rFonts w:hint="default"/>
        </w:rPr>
        <w:t>根据重庆市多年平均降雨资料，通过累计降雨量分析：</w:t>
      </w:r>
    </w:p>
    <w:p w14:paraId="4BC0238B">
      <w:pPr>
        <w:rPr>
          <w:rFonts w:hint="default"/>
        </w:rPr>
      </w:pPr>
      <w:r>
        <w:rPr>
          <w:rFonts w:hint="default"/>
        </w:rPr>
        <w:t>单场降雨量≤14.7mm的降雨事件占全年总降雨事件的比例约65%。</w:t>
      </w:r>
    </w:p>
    <w:p w14:paraId="159031E5">
      <w:pPr>
        <w:rPr>
          <w:rFonts w:hint="default"/>
        </w:rPr>
      </w:pPr>
      <w:r>
        <w:rPr>
          <w:rFonts w:hint="default"/>
        </w:rPr>
        <w:t>按降雨量加权，这部分降雨的贡献量占年总降雨量的比例约为55%。</w:t>
      </w:r>
    </w:p>
    <w:p w14:paraId="1E9D187A">
      <w:pPr>
        <w:rPr>
          <w:rFonts w:hint="default"/>
        </w:rPr>
      </w:pPr>
      <w:r>
        <w:rPr>
          <w:rFonts w:hint="default"/>
        </w:rPr>
        <w:t>但下凹绿地、透水铺装等LID设施还可对超出部分进行部分削减，综合控制率可达</w:t>
      </w:r>
    </w:p>
    <w:p w14:paraId="10370641">
      <w:pPr>
        <w:rPr>
          <w:rFonts w:hint="eastAsia" w:eastAsiaTheme="minorEastAsia"/>
          <w:b/>
          <w:bCs/>
          <w:lang w:eastAsia="zh-CN"/>
        </w:rPr>
      </w:pPr>
      <w:r>
        <w:rPr>
          <w:rFonts w:hint="default"/>
          <w:b/>
          <w:bCs/>
        </w:rPr>
        <w:t>四、</w:t>
      </w:r>
      <w:r>
        <w:rPr>
          <w:rFonts w:hint="eastAsia"/>
          <w:b/>
          <w:bCs/>
          <w:lang w:val="en-US" w:eastAsia="zh-CN"/>
        </w:rPr>
        <w:t>结论</w:t>
      </w:r>
    </w:p>
    <w:p w14:paraId="74B94571">
      <w:r>
        <w:rPr>
          <w:rFonts w:hint="default"/>
        </w:rPr>
        <w:t>项目设计年径流总量控制率约为73%，满足《绿色建筑评价标准》GB/T 50378-2019中“场地雨水年径流总量控制率达到55%得6分，达到70%得9分”的得分要求。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+西文标题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KaTeX_Math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800FA"/>
    <w:rsid w:val="60E742EA"/>
    <w:rsid w:val="67C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40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0">
    <w:name w:val="标题 2 Char"/>
    <w:link w:val="3"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2026-03-29T02:30:39Z</dcterms:created>
  <dc:creator>范晗雅</dc:creator>
  <cp:lastModifiedBy>无名氏本人</cp:lastModifiedBy>
  <dcterms:modified xsi:type="dcterms:W3CDTF">2026-03-29T02:41:16Z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eyJoZGlkIjoiYThlN2YzMGU5YjQ0NGZjY2UwYTg0NTFkOTY5ZTI3MmIiLCJ1c2VySWQiOiI4MTMyNDI1MjAifQ==</vt:lpwstr>
  </property>
  <property fmtid="{D5CDD505-2E9C-101B-9397-08002B2CF9AE}" pid="4" name="ICV">
    <vt:lpwstr>590C671523FA47268FC1905ACEF679AF_13</vt:lpwstr>
  </property>
</Properties>
</file>