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4E38">
      <w:pPr>
        <w:jc w:val="center"/>
        <w:rPr>
          <w:rStyle w:val="40"/>
          <w:rFonts w:hint="eastAsia"/>
          <w:lang w:val="en-US" w:eastAsia="zh-CN"/>
        </w:rPr>
      </w:pPr>
      <w:r>
        <w:rPr>
          <w:rStyle w:val="40"/>
          <w:rFonts w:hint="default"/>
        </w:rPr>
        <w:t>森雾间·愈所</w:t>
      </w:r>
      <w:r>
        <w:rPr>
          <w:rStyle w:val="40"/>
          <w:rFonts w:hint="eastAsia"/>
          <w:lang w:val="en-US" w:eastAsia="zh-CN"/>
        </w:rPr>
        <w:t>设计控制雨量计算书</w:t>
      </w:r>
    </w:p>
    <w:p w14:paraId="63B63E45">
      <w:pPr>
        <w:jc w:val="left"/>
        <w:rPr/>
      </w:pPr>
      <w:r>
        <w:rPr>
          <w:rFonts w:hint="default"/>
        </w:rPr>
        <w:br w:type="textWrapping"/>
      </w:r>
      <w:r>
        <w:rPr>
          <w:rFonts w:hint="default"/>
        </w:rPr>
        <w:t>编制单位： 森雾间医疗管理（重庆）有限公司</w:t>
      </w:r>
      <w:r>
        <w:rPr>
          <w:rFonts w:hint="default"/>
        </w:rPr>
        <w:br w:type="textWrapping"/>
      </w:r>
      <w:r>
        <w:rPr>
          <w:rFonts w:hint="default"/>
        </w:rPr>
        <w:t>编制</w:t>
      </w:r>
      <w:r>
        <w:rPr>
          <w:rFonts w:hint="eastAsia"/>
          <w:lang w:val="en-US" w:eastAsia="zh-CN"/>
        </w:rPr>
        <w:t>依据</w:t>
      </w:r>
      <w:r>
        <w:rPr>
          <w:rFonts w:hint="default"/>
        </w:rPr>
        <w:t>：《海绵城市建设技术指南——低影响开发雨水系统构建》（住建部2014年）、《重庆市海绵城市建设技术导则》</w:t>
      </w:r>
    </w:p>
    <w:p w14:paraId="7C279072">
      <w:pPr>
        <w:rPr>
          <w:rFonts w:hint="eastAsia" w:eastAsiaTheme="minorEastAsia"/>
          <w:b/>
          <w:bCs/>
          <w:lang w:eastAsia="zh-CN"/>
        </w:rPr>
      </w:pPr>
      <w:r>
        <w:rPr>
          <w:rFonts w:hint="default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设计目标</w:t>
      </w:r>
    </w:p>
    <w:p w14:paraId="041A13D2">
      <w:pPr>
        <w:rPr>
          <w:rFonts w:hint="default"/>
        </w:rPr>
      </w:pPr>
      <w:r>
        <w:rPr>
          <w:rFonts w:hint="default"/>
        </w:rPr>
        <w:t>本项目年径流总量控制率目标：75%（重庆市主城区及永川区推荐值为70%~80%，本项目取75%）。</w:t>
      </w:r>
    </w:p>
    <w:p w14:paraId="2B6183E6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default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设计降雨量确定</w:t>
      </w:r>
    </w:p>
    <w:p w14:paraId="1C36A577">
      <w:pPr>
        <w:rPr/>
      </w:pPr>
      <w:r>
        <w:rPr>
          <w:rFonts w:hint="default"/>
        </w:rPr>
        <w:t>根据重庆地区年径流总量控制率与设计降雨量关系曲线（参见《重庆市海绵城市建设技术导则》），当控制率为75%时，对应的设计降雨量约为20.0mm。</w:t>
      </w:r>
    </w:p>
    <w:p w14:paraId="25D04DA5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default"/>
          <w:b/>
          <w:bCs/>
        </w:rPr>
        <w:t>三、</w:t>
      </w:r>
      <w:r>
        <w:rPr>
          <w:rFonts w:hint="eastAsia"/>
          <w:b/>
          <w:bCs/>
          <w:lang w:val="en-US" w:eastAsia="zh-CN"/>
        </w:rPr>
        <w:t>汇水面积及径流系数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1520"/>
        <w:gridCol w:w="1760"/>
        <w:gridCol w:w="1760"/>
      </w:tblGrid>
      <w:tr w14:paraId="2321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76C8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下垫面类型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BD5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E788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雨量径流系数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BF8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加权径流系数</w:t>
            </w:r>
          </w:p>
        </w:tc>
      </w:tr>
      <w:tr w14:paraId="6204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E054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692A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321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FBA2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0.85</w:t>
            </w:r>
          </w:p>
        </w:tc>
      </w:tr>
      <w:tr w14:paraId="13AC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B92F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道路及硬化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CEE2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9474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1CC7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0.85</w:t>
            </w:r>
          </w:p>
        </w:tc>
      </w:tr>
      <w:tr w14:paraId="6951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25EC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CB5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352A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E585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0.15</w:t>
            </w:r>
          </w:p>
        </w:tc>
      </w:tr>
      <w:tr w14:paraId="20D7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23B1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6C20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B21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1C68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0.30</w:t>
            </w:r>
          </w:p>
        </w:tc>
      </w:tr>
      <w:tr w14:paraId="70FB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8D67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合计/综合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0A86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255D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619D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0.58</w:t>
            </w:r>
          </w:p>
        </w:tc>
      </w:tr>
    </w:tbl>
    <w:p w14:paraId="1DDA685B">
      <w:pPr>
        <w:rPr>
          <w:rFonts w:hint="default"/>
        </w:rPr>
      </w:pPr>
      <w:r>
        <w:rPr>
          <w:rFonts w:hint="default"/>
        </w:rPr>
        <w:t>注：绿地面积含屋顶绿化，透水铺装面积计入人行道及部分停车场。</w:t>
      </w:r>
    </w:p>
    <w:p w14:paraId="10370641">
      <w:pPr>
        <w:rPr>
          <w:rFonts w:hint="default"/>
          <w:b/>
          <w:bCs/>
        </w:rPr>
      </w:pPr>
      <w:r>
        <w:rPr>
          <w:rFonts w:hint="default"/>
          <w:b/>
          <w:bCs/>
        </w:rPr>
        <w:t>四、各子系统详细设计</w:t>
      </w:r>
    </w:p>
    <w:p w14:paraId="626BF336">
      <w:pPr>
        <w:rPr>
          <w:rFonts w:hint="default"/>
        </w:rPr>
      </w:pPr>
      <w:r>
        <w:rPr>
          <w:rFonts w:hint="default"/>
        </w:rPr>
        <w:t>调蓄容积按下式计算：</w:t>
      </w:r>
    </w:p>
    <w:p w14:paraId="61D083F4">
      <w:r>
        <w:drawing>
          <wp:inline distT="0" distB="0" distL="114300" distR="114300">
            <wp:extent cx="2311400" cy="55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68A9">
      <w:pPr>
        <w:rPr>
          <w:rFonts w:hint="default"/>
        </w:rPr>
      </w:pPr>
      <w:r>
        <w:rPr>
          <w:rFonts w:hint="default"/>
        </w:rPr>
        <w:t>其中：</w:t>
      </w:r>
    </w:p>
    <w:p w14:paraId="0A9BB4AC">
      <w:pPr>
        <w:rPr/>
      </w:pPr>
      <w:r>
        <w:drawing>
          <wp:inline distT="0" distB="0" distL="114300" distR="114300">
            <wp:extent cx="4622800" cy="1485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FF1B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default"/>
          <w:b/>
          <w:bCs/>
        </w:rPr>
        <w:t>五、</w:t>
      </w:r>
      <w:r>
        <w:rPr>
          <w:rFonts w:hint="eastAsia"/>
          <w:b/>
          <w:bCs/>
          <w:lang w:val="en-US" w:eastAsia="zh-CN"/>
        </w:rPr>
        <w:t>设计调蓄容积</w:t>
      </w:r>
    </w:p>
    <w:p w14:paraId="17ECB1BC">
      <w:pPr>
        <w:rPr/>
      </w:pPr>
      <w:r>
        <w:rPr>
          <w:rFonts w:hint="default"/>
        </w:rPr>
        <w:t>本项目雨水控制利用设施包括：</w:t>
      </w:r>
    </w:p>
    <w:p w14:paraId="3E6FE7D2">
      <w:pPr>
        <w:rPr/>
      </w:pPr>
      <w:r>
        <w:rPr>
          <w:rFonts w:hint="default"/>
        </w:rPr>
        <w:t>雨水调蓄池：有效容积200m³</w:t>
      </w:r>
    </w:p>
    <w:p w14:paraId="186A2E6C">
      <w:pPr>
        <w:rPr/>
      </w:pPr>
      <w:r>
        <w:rPr>
          <w:rFonts w:hint="default"/>
        </w:rPr>
        <w:t>下凹式绿地（部分）：调蓄深度0.1m，面积约500㎡，调蓄容积约50m³</w:t>
      </w:r>
    </w:p>
    <w:p w14:paraId="17CAC63C">
      <w:pPr>
        <w:rPr/>
      </w:pPr>
      <w:r>
        <w:rPr>
          <w:rFonts w:hint="default"/>
        </w:rPr>
        <w:t>透水铺装下渗（不计入调蓄容积，但起削峰作用）</w:t>
      </w:r>
    </w:p>
    <w:p w14:paraId="7F53B1BF">
      <w:pPr>
        <w:rPr>
          <w:rFonts w:hint="default"/>
        </w:rPr>
      </w:pPr>
      <w:r>
        <w:rPr>
          <w:rFonts w:hint="default"/>
        </w:rPr>
        <w:t>总调蓄容积：200 + 50 = 250 m³。</w:t>
      </w:r>
    </w:p>
    <w:p w14:paraId="3044AD0C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default"/>
          <w:b/>
          <w:bCs/>
        </w:rPr>
        <w:t>、</w:t>
      </w:r>
      <w:r>
        <w:rPr>
          <w:rFonts w:hint="eastAsia"/>
          <w:b/>
          <w:bCs/>
          <w:lang w:val="en-US" w:eastAsia="zh-CN"/>
        </w:rPr>
        <w:t>达标分析</w:t>
      </w:r>
    </w:p>
    <w:p w14:paraId="74B94571">
      <w:r>
        <w:rPr>
          <w:rFonts w:hint="default"/>
        </w:rPr>
        <w:t>250 m³ &lt; 330.6 m³，实际控制率略低于75%。考虑到透水铺装及下凹绿地的入渗作用可削减部分径流，实际年径流总量控制率可达到约73%，满足绿色建筑基本要求（≥70%）。设计控制雨量约为18.5mm，略低于目标值，但符合项目实际情况（用地面积受限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KaTeX_Math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742EA"/>
    <w:rsid w:val="67C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0">
    <w:name w:val="标题 2 Char"/>
    <w:link w:val="3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2026-03-29T02:30:39Z</dcterms:created>
  <dc:creator>范晗雅</dc:creator>
  <cp:lastModifiedBy>无名氏本人</cp:lastModifiedBy>
  <dcterms:modified xsi:type="dcterms:W3CDTF">2026-03-29T02:37:52Z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eyJoZGlkIjoiYThlN2YzMGU5YjQ0NGZjY2UwYTg0NTFkOTY5ZTI3MmIiLCJ1c2VySWQiOiI4MTMyNDI1MjAifQ==</vt:lpwstr>
  </property>
  <property fmtid="{D5CDD505-2E9C-101B-9397-08002B2CF9AE}" pid="4" name="ICV">
    <vt:lpwstr>9E76BC48D6814C19BF2B78B0B6600861_13</vt:lpwstr>
  </property>
</Properties>
</file>