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2"/>
      </w:pPr>
    </w:p>
    <w:p>
      <w:pPr>
        <w:pStyle w:val="32"/>
        <w:jc w:val="distribute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通风开口与外窗面积比例</w:t>
      </w:r>
    </w:p>
    <w:p>
      <w:pPr>
        <w:pStyle w:val="32"/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计算书</w:t>
      </w:r>
    </w:p>
    <w:p>
      <w:pPr>
        <w:pStyle w:val="36"/>
        <w:spacing w:line="400" w:lineRule="exact"/>
      </w:pPr>
    </w:p>
    <w:p>
      <w:pPr>
        <w:pStyle w:val="36"/>
        <w:rPr>
          <w:b/>
        </w:rPr>
      </w:pPr>
      <w:bookmarkStart w:id="0" w:name="工程名称"/>
      <w:bookmarkStart w:id="1" w:name="项目名称"/>
      <w:r>
        <w:t>筑绿未来</w:t>
      </w:r>
      <w:bookmarkEnd w:id="0"/>
      <w:bookmarkEnd w:id="1"/>
    </w:p>
    <w:p>
      <w:pPr>
        <w:pStyle w:val="36"/>
        <w:rPr>
          <w:b/>
        </w:rPr>
      </w:pPr>
      <w:r>
        <w:rPr>
          <w:rFonts w:hint="eastAsia"/>
          <w:b/>
        </w:rPr>
        <w:t>设计编号：</w:t>
      </w:r>
      <w:bookmarkStart w:id="2" w:name="设计编号"/>
      <w:r>
        <w:t>2025-AA-BB</w:t>
      </w:r>
      <w:bookmarkEnd w:id="2"/>
    </w:p>
    <w:p>
      <w:pPr>
        <w:pStyle w:val="36"/>
        <w:rPr>
          <w:b/>
        </w:rPr>
      </w:pPr>
    </w:p>
    <w:p>
      <w:pPr>
        <w:pStyle w:val="32"/>
        <w:jc w:val="center"/>
      </w:pPr>
      <w:bookmarkStart w:id="3" w:name="二维码"/>
      <w:bookmarkEnd w:id="3"/>
      <w:r>
        <w:drawing>
          <wp:inline distT="0" distB="0" distL="0" distR="0">
            <wp:extent cx="1085850" cy="10858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5964" cy="108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2"/>
        <w:jc w:val="center"/>
      </w:pPr>
    </w:p>
    <w:tbl>
      <w:tblPr>
        <w:tblStyle w:val="21"/>
        <w:tblW w:w="65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475"/>
        <w:gridCol w:w="46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pStyle w:val="32"/>
              <w:spacing w:line="600" w:lineRule="exact"/>
              <w:jc w:val="distribute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475" w:type="dxa"/>
            <w:vAlign w:val="center"/>
          </w:tcPr>
          <w:p>
            <w:pPr>
              <w:pStyle w:val="32"/>
              <w:spacing w:line="600" w:lineRule="exact"/>
              <w:ind w:right="-31" w:rightChars="-15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4624" w:type="dxa"/>
            <w:tcBorders>
              <w:bottom w:val="single" w:color="auto" w:sz="4" w:space="0"/>
            </w:tcBorders>
            <w:vAlign w:val="center"/>
          </w:tcPr>
          <w:p>
            <w:pPr>
              <w:pStyle w:val="32"/>
              <w:spacing w:line="600" w:lineRule="exact"/>
              <w:jc w:val="center"/>
            </w:pPr>
            <w:bookmarkStart w:id="4" w:name="工程地点"/>
            <w:r>
              <w:t>福州</w:t>
            </w:r>
            <w:bookmarkEnd w:id="4"/>
            <w:bookmarkStart w:id="5" w:name="项目地点"/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pStyle w:val="32"/>
              <w:spacing w:line="600" w:lineRule="exact"/>
              <w:jc w:val="distribute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475" w:type="dxa"/>
            <w:vAlign w:val="center"/>
          </w:tcPr>
          <w:p>
            <w:pPr>
              <w:pStyle w:val="32"/>
              <w:spacing w:line="6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46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2"/>
              <w:spacing w:line="600" w:lineRule="exact"/>
              <w:jc w:val="center"/>
            </w:pPr>
            <w:bookmarkStart w:id="6" w:name="建设单位"/>
            <w:r>
              <w:t>xxxx工程建设有限公司</w:t>
            </w:r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pStyle w:val="32"/>
              <w:spacing w:line="600" w:lineRule="exact"/>
              <w:jc w:val="distribute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475" w:type="dxa"/>
            <w:vAlign w:val="center"/>
          </w:tcPr>
          <w:p>
            <w:pPr>
              <w:pStyle w:val="32"/>
              <w:spacing w:line="6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46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2"/>
              <w:spacing w:line="600" w:lineRule="exact"/>
              <w:jc w:val="center"/>
            </w:pPr>
            <w:bookmarkStart w:id="7" w:name="设计单位"/>
            <w:r>
              <w:t>xxxx建筑设计研究院有限公司</w:t>
            </w:r>
            <w:bookmarkEnd w:id="7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pStyle w:val="32"/>
              <w:spacing w:line="600" w:lineRule="exact"/>
              <w:jc w:val="distribute"/>
            </w:pPr>
            <w:r>
              <w:rPr>
                <w:rFonts w:hint="eastAsia"/>
              </w:rPr>
              <w:t>设计人</w:t>
            </w:r>
          </w:p>
        </w:tc>
        <w:tc>
          <w:tcPr>
            <w:tcW w:w="475" w:type="dxa"/>
            <w:vAlign w:val="center"/>
          </w:tcPr>
          <w:p>
            <w:pPr>
              <w:pStyle w:val="32"/>
              <w:spacing w:line="6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46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2"/>
              <w:spacing w:line="600" w:lineRule="exac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pStyle w:val="32"/>
              <w:spacing w:line="600" w:lineRule="exact"/>
              <w:jc w:val="distribute"/>
            </w:pPr>
            <w:r>
              <w:rPr>
                <w:rFonts w:hint="eastAsia"/>
              </w:rPr>
              <w:t>校对人</w:t>
            </w:r>
          </w:p>
        </w:tc>
        <w:tc>
          <w:tcPr>
            <w:tcW w:w="475" w:type="dxa"/>
            <w:vAlign w:val="center"/>
          </w:tcPr>
          <w:p>
            <w:pPr>
              <w:pStyle w:val="32"/>
              <w:spacing w:line="6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46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2"/>
              <w:spacing w:line="600" w:lineRule="exac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pStyle w:val="32"/>
              <w:spacing w:line="600" w:lineRule="exact"/>
              <w:jc w:val="distribute"/>
            </w:pPr>
            <w:r>
              <w:rPr>
                <w:rFonts w:hint="eastAsia"/>
              </w:rPr>
              <w:t>审定人</w:t>
            </w:r>
          </w:p>
        </w:tc>
        <w:tc>
          <w:tcPr>
            <w:tcW w:w="475" w:type="dxa"/>
            <w:vAlign w:val="center"/>
          </w:tcPr>
          <w:p>
            <w:pPr>
              <w:pStyle w:val="32"/>
              <w:spacing w:line="6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46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2"/>
              <w:spacing w:line="600" w:lineRule="exac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pStyle w:val="32"/>
              <w:spacing w:line="600" w:lineRule="exact"/>
              <w:jc w:val="distribute"/>
            </w:pPr>
            <w:r>
              <w:rPr>
                <w:rFonts w:hint="eastAsia"/>
              </w:rPr>
              <w:t>报告日期</w:t>
            </w:r>
          </w:p>
        </w:tc>
        <w:tc>
          <w:tcPr>
            <w:tcW w:w="475" w:type="dxa"/>
            <w:vAlign w:val="center"/>
          </w:tcPr>
          <w:p>
            <w:pPr>
              <w:pStyle w:val="32"/>
              <w:spacing w:line="6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46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2"/>
              <w:spacing w:line="600" w:lineRule="exact"/>
              <w:jc w:val="center"/>
            </w:pPr>
            <w:bookmarkStart w:id="8" w:name="报告日期"/>
            <w:bookmarkEnd w:id="8"/>
          </w:p>
        </w:tc>
      </w:tr>
    </w:tbl>
    <w:p/>
    <w:p>
      <w:pPr>
        <w:pStyle w:val="34"/>
      </w:pPr>
    </w:p>
    <w:tbl>
      <w:tblPr>
        <w:tblStyle w:val="21"/>
        <w:tblW w:w="0" w:type="dxa"/>
        <w:tblInd w:w="108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143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42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  <w:jc w:val="distribute"/>
              <w:rPr>
                <w:szCs w:val="18"/>
              </w:rPr>
            </w:pPr>
            <w:r>
              <w:rPr>
                <w:rFonts w:hint="eastAsia"/>
                <w:szCs w:val="18"/>
              </w:rPr>
              <w:t>采用软件</w:t>
            </w:r>
          </w:p>
        </w:tc>
        <w:tc>
          <w:tcPr>
            <w:tcW w:w="3143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: </w:t>
            </w:r>
            <w:bookmarkStart w:id="9" w:name="采用软件"/>
            <w:r>
              <w:rPr>
                <w:rFonts w:hint="eastAsia"/>
                <w:szCs w:val="18"/>
              </w:rPr>
              <w:t>建筑通风Vent2025</w:t>
            </w:r>
            <w:bookmarkEnd w:id="9"/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  <w:spacing w:line="240" w:lineRule="auto"/>
              <w:ind w:firstLine="360"/>
              <w:jc w:val="right"/>
              <w:rPr>
                <w:szCs w:val="18"/>
              </w:rPr>
            </w:pPr>
            <w:r>
              <w:rPr>
                <w:szCs w:val="18"/>
                <w:lang w:val="en-US"/>
              </w:rPr>
              <w:drawing>
                <wp:inline distT="0" distB="0" distL="0" distR="0">
                  <wp:extent cx="1962150" cy="504825"/>
                  <wp:effectExtent l="0" t="0" r="0" b="952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  <w:jc w:val="distribute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10" w:name="软件版本"/>
            <w:r>
              <w:rPr>
                <w:rFonts w:hint="eastAsia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ind w:firstLine="36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  <w:jc w:val="distribute"/>
              <w:rPr>
                <w:szCs w:val="18"/>
              </w:rPr>
            </w:pPr>
            <w:r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: </w:t>
            </w:r>
            <w:bookmarkStart w:id="11" w:name="加密锁号"/>
            <w:r>
              <w:rPr>
                <w:rFonts w:hint="eastAsia"/>
                <w:szCs w:val="18"/>
              </w:rPr>
              <w:t>T18060052160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ind w:firstLine="36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  <w:jc w:val="distribute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  <w:rPr>
                <w:szCs w:val="18"/>
              </w:rPr>
            </w:pPr>
            <w:r>
              <w:rPr>
                <w:rFonts w:hint="eastAsia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ind w:firstLine="360"/>
              <w:rPr>
                <w:sz w:val="18"/>
                <w:szCs w:val="18"/>
              </w:rPr>
            </w:pPr>
          </w:p>
        </w:tc>
      </w:tr>
    </w:tbl>
    <w:p>
      <w:pPr>
        <w:sectPr>
          <w:headerReference r:id="rId4" w:type="default"/>
          <w:footerReference r:id="rId5" w:type="default"/>
          <w:pgSz w:w="11906" w:h="16838"/>
          <w:pgMar w:top="1440" w:right="1800" w:bottom="426" w:left="1800" w:header="851" w:footer="567" w:gutter="0"/>
          <w:cols w:space="425" w:num="1"/>
          <w:titlePg/>
          <w:docGrid w:type="lines" w:linePitch="312" w:charSpace="0"/>
        </w:sectPr>
      </w:pPr>
    </w:p>
    <w:p>
      <w:pPr>
        <w:pStyle w:val="2"/>
      </w:pPr>
      <w:bookmarkStart w:id="12" w:name="_Toc420663548"/>
      <w:bookmarkStart w:id="13" w:name="_Toc420309360"/>
      <w:r>
        <w:rPr>
          <w:rFonts w:hint="eastAsia"/>
        </w:rPr>
        <w:t>建筑概况</w:t>
      </w:r>
      <w:bookmarkEnd w:id="12"/>
      <w:bookmarkEnd w:id="13"/>
    </w:p>
    <w:tbl>
      <w:tblPr>
        <w:tblStyle w:val="20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1" w:type="dxa"/>
            <w:shd w:val="clear" w:color="auto" w:fill="E6E6E6"/>
            <w:vAlign w:val="center"/>
          </w:tcPr>
          <w:p>
            <w:pPr>
              <w:pStyle w:val="3"/>
              <w:ind w:firstLine="0" w:firstLineChars="0"/>
              <w:rPr>
                <w:rFonts w:ascii="微软雅黑" w:hAnsi="微软雅黑" w:eastAsia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/>
              </w:rPr>
              <w:t>工程名称</w:t>
            </w:r>
          </w:p>
        </w:tc>
        <w:tc>
          <w:tcPr>
            <w:tcW w:w="6231" w:type="dxa"/>
            <w:vAlign w:val="center"/>
          </w:tcPr>
          <w:p>
            <w:pPr>
              <w:pStyle w:val="3"/>
              <w:ind w:firstLine="0" w:firstLineChars="0"/>
              <w:rPr>
                <w:rFonts w:ascii="微软雅黑" w:hAnsi="微软雅黑" w:eastAsia="微软雅黑"/>
                <w:sz w:val="18"/>
                <w:szCs w:val="18"/>
                <w:lang w:val="en-US"/>
              </w:rPr>
            </w:pPr>
            <w:bookmarkStart w:id="14" w:name="工程名称2"/>
            <w:r>
              <w:t>筑绿未来</w:t>
            </w:r>
            <w:bookmarkEnd w:id="1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1" w:type="dxa"/>
            <w:shd w:val="clear" w:color="auto" w:fill="E6E6E6"/>
            <w:vAlign w:val="center"/>
          </w:tcPr>
          <w:p>
            <w:pPr>
              <w:pStyle w:val="3"/>
              <w:ind w:firstLine="0" w:firstLineChars="0"/>
              <w:rPr>
                <w:rFonts w:ascii="微软雅黑" w:hAnsi="微软雅黑" w:eastAsia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/>
              </w:rPr>
              <w:t>工程地点</w:t>
            </w:r>
          </w:p>
        </w:tc>
        <w:tc>
          <w:tcPr>
            <w:tcW w:w="6231" w:type="dxa"/>
            <w:vAlign w:val="center"/>
          </w:tcPr>
          <w:p>
            <w:pPr>
              <w:pStyle w:val="3"/>
              <w:ind w:firstLine="0" w:firstLineChars="0"/>
              <w:rPr>
                <w:rFonts w:ascii="微软雅黑" w:hAnsi="微软雅黑" w:eastAsia="微软雅黑"/>
                <w:sz w:val="18"/>
                <w:szCs w:val="18"/>
                <w:lang w:val="en-US"/>
              </w:rPr>
            </w:pPr>
            <w:bookmarkStart w:id="15" w:name="工程地点2"/>
            <w:r>
              <w:rPr>
                <w:rFonts w:hint="eastAsia" w:ascii="微软雅黑" w:hAnsi="微软雅黑" w:eastAsia="微软雅黑"/>
                <w:sz w:val="18"/>
                <w:szCs w:val="18"/>
                <w:lang w:val="en-US"/>
              </w:rPr>
              <w:t>福州</w:t>
            </w:r>
            <w:bookmarkEnd w:id="1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1" w:type="dxa"/>
            <w:shd w:val="clear" w:color="auto" w:fill="E6E6E6"/>
            <w:vAlign w:val="center"/>
          </w:tcPr>
          <w:p>
            <w:pPr>
              <w:pStyle w:val="3"/>
              <w:ind w:firstLine="0" w:firstLineChars="0"/>
              <w:rPr>
                <w:rFonts w:ascii="微软雅黑" w:hAnsi="微软雅黑" w:eastAsia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/>
              </w:rPr>
              <w:t>建筑面积</w:t>
            </w:r>
          </w:p>
        </w:tc>
        <w:tc>
          <w:tcPr>
            <w:tcW w:w="6231" w:type="dxa"/>
            <w:vAlign w:val="center"/>
          </w:tcPr>
          <w:p>
            <w:pPr>
              <w:pStyle w:val="3"/>
              <w:ind w:firstLine="0" w:firstLineChars="0"/>
              <w:rPr>
                <w:rFonts w:ascii="微软雅黑" w:hAnsi="微软雅黑" w:eastAsia="微软雅黑"/>
                <w:sz w:val="18"/>
                <w:szCs w:val="18"/>
                <w:vertAlign w:val="superscript"/>
                <w:lang w:val="en-US"/>
              </w:rPr>
            </w:pPr>
            <w:bookmarkStart w:id="16" w:name="建筑面积"/>
            <w:r>
              <w:rPr>
                <w:rFonts w:ascii="微软雅黑" w:hAnsi="微软雅黑" w:eastAsia="微软雅黑"/>
                <w:sz w:val="18"/>
                <w:szCs w:val="18"/>
                <w:lang w:val="en-US"/>
              </w:rPr>
              <w:t>2068</w:t>
            </w:r>
            <w:bookmarkEnd w:id="16"/>
            <w:r>
              <w:rPr>
                <w:rFonts w:hint="eastAsia" w:ascii="微软雅黑" w:hAnsi="微软雅黑" w:eastAsia="微软雅黑"/>
                <w:sz w:val="18"/>
                <w:szCs w:val="18"/>
                <w:lang w:val="en-US"/>
              </w:rPr>
              <w:t>m</w:t>
            </w:r>
            <w:r>
              <w:rPr>
                <w:rFonts w:hint="eastAsia" w:ascii="微软雅黑" w:hAnsi="微软雅黑" w:eastAsia="微软雅黑"/>
                <w:sz w:val="18"/>
                <w:szCs w:val="18"/>
                <w:vertAlign w:val="superscript"/>
                <w:lang w:val="en-US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1" w:type="dxa"/>
            <w:shd w:val="clear" w:color="auto" w:fill="E6E6E6"/>
            <w:vAlign w:val="center"/>
          </w:tcPr>
          <w:p>
            <w:pPr>
              <w:pStyle w:val="3"/>
              <w:ind w:firstLine="0" w:firstLineChars="0"/>
              <w:rPr>
                <w:rFonts w:ascii="微软雅黑" w:hAnsi="微软雅黑" w:eastAsia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/>
              </w:rPr>
              <w:t>建筑层数</w:t>
            </w:r>
          </w:p>
        </w:tc>
        <w:tc>
          <w:tcPr>
            <w:tcW w:w="6231" w:type="dxa"/>
            <w:vAlign w:val="center"/>
          </w:tcPr>
          <w:p>
            <w:pPr>
              <w:pStyle w:val="3"/>
              <w:ind w:firstLine="0" w:firstLineChars="0"/>
              <w:rPr>
                <w:rFonts w:ascii="微软雅黑" w:hAnsi="微软雅黑" w:eastAsia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/>
              </w:rPr>
              <w:t>地上</w:t>
            </w:r>
            <w:bookmarkStart w:id="17" w:name="地上层数"/>
            <w:r>
              <w:rPr>
                <w:rFonts w:hint="eastAsia" w:ascii="微软雅黑" w:hAnsi="微软雅黑" w:eastAsia="微软雅黑"/>
                <w:sz w:val="18"/>
                <w:szCs w:val="18"/>
                <w:lang w:val="en-US"/>
              </w:rPr>
              <w:t>6</w:t>
            </w:r>
            <w:bookmarkEnd w:id="17"/>
            <w:r>
              <w:rPr>
                <w:rFonts w:hint="eastAsia" w:ascii="微软雅黑" w:hAnsi="微软雅黑" w:eastAsia="微软雅黑"/>
                <w:sz w:val="18"/>
                <w:szCs w:val="18"/>
                <w:lang w:val="en-US"/>
              </w:rPr>
              <w:t>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1" w:type="dxa"/>
            <w:shd w:val="clear" w:color="auto" w:fill="E6E6E6"/>
            <w:vAlign w:val="center"/>
          </w:tcPr>
          <w:p>
            <w:pPr>
              <w:pStyle w:val="3"/>
              <w:ind w:firstLine="0" w:firstLineChars="0"/>
              <w:rPr>
                <w:rFonts w:ascii="微软雅黑" w:hAnsi="微软雅黑" w:eastAsia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/>
              </w:rPr>
              <w:t>建筑高度</w:t>
            </w:r>
          </w:p>
        </w:tc>
        <w:tc>
          <w:tcPr>
            <w:tcW w:w="6231" w:type="dxa"/>
            <w:vAlign w:val="center"/>
          </w:tcPr>
          <w:p>
            <w:pPr>
              <w:pStyle w:val="3"/>
              <w:ind w:firstLine="0" w:firstLineChars="0"/>
              <w:rPr>
                <w:rFonts w:ascii="微软雅黑" w:hAnsi="微软雅黑" w:eastAsia="微软雅黑"/>
                <w:sz w:val="18"/>
                <w:szCs w:val="18"/>
                <w:lang w:val="en-US"/>
              </w:rPr>
            </w:pPr>
            <w:bookmarkStart w:id="18" w:name="建筑高度"/>
            <w:r>
              <w:rPr>
                <w:rFonts w:hint="eastAsia" w:ascii="微软雅黑" w:hAnsi="微软雅黑" w:eastAsia="微软雅黑"/>
                <w:sz w:val="18"/>
                <w:szCs w:val="18"/>
                <w:lang w:val="en-US"/>
              </w:rPr>
              <w:t>27.0</w:t>
            </w:r>
            <w:bookmarkEnd w:id="18"/>
            <w:r>
              <w:rPr>
                <w:rFonts w:hint="eastAsia" w:ascii="微软雅黑" w:hAnsi="微软雅黑" w:eastAsia="微软雅黑"/>
                <w:sz w:val="18"/>
                <w:szCs w:val="18"/>
                <w:lang w:val="en-US"/>
              </w:rPr>
              <w:t>m</w:t>
            </w:r>
          </w:p>
        </w:tc>
      </w:tr>
    </w:tbl>
    <w:p>
      <w:pPr>
        <w:pStyle w:val="2"/>
      </w:pPr>
      <w:bookmarkStart w:id="19" w:name="_Toc420663549"/>
      <w:bookmarkStart w:id="20" w:name="_Toc420309361"/>
      <w:bookmarkStart w:id="21" w:name="TitleFormat"/>
      <w:r>
        <w:rPr>
          <w:rFonts w:hint="eastAsia"/>
        </w:rPr>
        <w:t>计算依据</w:t>
      </w:r>
      <w:bookmarkEnd w:id="19"/>
      <w:bookmarkEnd w:id="20"/>
    </w:p>
    <w:bookmarkEnd w:id="21"/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1. 《福建省绿色建筑设计标准》DBJ∕ T 13-197-2022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2" w:name="工程名称3"/>
      <w:r>
        <w:t>筑绿未来</w:t>
      </w:r>
      <w:bookmarkEnd w:id="22"/>
      <w:r>
        <w:rPr>
          <w:rFonts w:hint="eastAsia"/>
          <w:kern w:val="2"/>
          <w:szCs w:val="24"/>
          <w:lang w:val="en-US"/>
        </w:rPr>
        <w:t>相关建筑图纸</w:t>
      </w:r>
    </w:p>
    <w:p>
      <w:pPr>
        <w:pStyle w:val="2"/>
      </w:pPr>
      <w:bookmarkStart w:id="23" w:name="_Toc420663550"/>
      <w:r>
        <w:rPr>
          <w:rFonts w:hint="eastAsia"/>
        </w:rPr>
        <w:t>计算目的</w:t>
      </w:r>
      <w:bookmarkEnd w:id="23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  <w:r>
        <w:t>标准</w:t>
      </w:r>
      <w:r>
        <w:rPr>
          <w:rFonts w:hint="eastAsia"/>
        </w:rPr>
        <w:t>中</w:t>
      </w:r>
      <w:r>
        <w:t>规定</w:t>
      </w:r>
      <w:r>
        <w:rPr>
          <w:rFonts w:hint="eastAsia"/>
          <w:kern w:val="2"/>
          <w:szCs w:val="24"/>
          <w:lang w:val="en-US"/>
        </w:rPr>
        <w:t>：</w:t>
      </w:r>
    </w:p>
    <w:p>
      <w:pPr>
        <w:widowControl w:val="0"/>
        <w:ind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5.2.18-1</w:t>
      </w:r>
      <w:r>
        <w:rPr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外窗通风开口面积与外窗面积比例，评价总分值为5</w:t>
      </w:r>
      <w:r>
        <w:rPr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分，并按下列规则评分：</w:t>
      </w:r>
    </w:p>
    <w:p>
      <w:pPr>
        <w:widowControl w:val="0"/>
        <w:spacing w:line="440" w:lineRule="exact"/>
        <w:jc w:val="center"/>
        <w:rPr>
          <w:rFonts w:cs="Arial"/>
          <w:kern w:val="2"/>
          <w:sz w:val="18"/>
          <w:szCs w:val="18"/>
          <w:lang w:val="en-US"/>
        </w:rPr>
      </w:pPr>
      <w:r>
        <w:rPr>
          <w:rFonts w:hint="eastAsia" w:cs="Arial"/>
          <w:kern w:val="2"/>
          <w:sz w:val="18"/>
          <w:szCs w:val="18"/>
          <w:lang w:val="en-US"/>
        </w:rPr>
        <w:t>表</w:t>
      </w:r>
      <w:r>
        <w:rPr>
          <w:rFonts w:cs="Arial"/>
          <w:kern w:val="2"/>
          <w:sz w:val="18"/>
          <w:szCs w:val="18"/>
          <w:lang w:val="en-US"/>
        </w:rPr>
        <w:t>5.2.18-1</w:t>
      </w:r>
      <w:r>
        <w:rPr>
          <w:rFonts w:hint="eastAsia" w:cs="Arial"/>
          <w:kern w:val="2"/>
          <w:sz w:val="18"/>
          <w:szCs w:val="18"/>
          <w:lang w:val="en-US"/>
        </w:rPr>
        <w:t>外窗的通风开口面积与房间地板面积的比例或与外窗面积的比例</w:t>
      </w:r>
    </w:p>
    <w:tbl>
      <w:tblPr>
        <w:tblStyle w:val="21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46" w:type="dxa"/>
            <w:shd w:val="clear" w:color="auto" w:fill="E7E6E6" w:themeFill="background2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cs="Arial"/>
                <w:b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cs="Arial"/>
                <w:b/>
                <w:kern w:val="2"/>
                <w:sz w:val="18"/>
                <w:szCs w:val="18"/>
                <w:lang w:val="en-US"/>
              </w:rPr>
              <w:t>外窗的通风开口面积与房间地板面积的比例</w:t>
            </w:r>
            <w:r>
              <w:rPr>
                <w:rFonts w:cs="Arial"/>
                <w:b/>
                <w:kern w:val="2"/>
                <w:sz w:val="18"/>
                <w:szCs w:val="18"/>
                <w:lang w:val="en-US"/>
              </w:rPr>
              <w:t xml:space="preserve"> R d </w:t>
            </w:r>
            <w:r>
              <w:rPr>
                <w:rFonts w:hint="eastAsia" w:cs="Arial"/>
                <w:b/>
                <w:kern w:val="2"/>
                <w:sz w:val="18"/>
                <w:szCs w:val="18"/>
                <w:lang w:val="en-US"/>
              </w:rPr>
              <w:t>或与外窗面积的比例</w:t>
            </w:r>
            <w:r>
              <w:rPr>
                <w:rFonts w:cs="Arial"/>
                <w:b/>
                <w:kern w:val="2"/>
                <w:sz w:val="18"/>
                <w:szCs w:val="18"/>
                <w:lang w:val="en-US"/>
              </w:rPr>
              <w:t xml:space="preserve"> Rc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cs="Arial"/>
                <w:b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cs="Arial"/>
                <w:b/>
                <w:kern w:val="2"/>
                <w:sz w:val="18"/>
                <w:szCs w:val="18"/>
                <w:lang w:val="en-US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46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cs="Arial"/>
                <w:kern w:val="2"/>
                <w:sz w:val="18"/>
                <w:szCs w:val="18"/>
                <w:lang w:val="en-US"/>
              </w:rPr>
            </w:pPr>
            <w:r>
              <w:rPr>
                <w:rFonts w:cs="Arial"/>
                <w:kern w:val="2"/>
                <w:sz w:val="18"/>
                <w:szCs w:val="18"/>
                <w:lang w:val="en-US"/>
              </w:rPr>
              <w:t>10%</w:t>
            </w:r>
            <w:r>
              <w:rPr>
                <w:rFonts w:hint="eastAsia" w:cs="Arial"/>
                <w:kern w:val="2"/>
                <w:sz w:val="18"/>
                <w:szCs w:val="18"/>
                <w:lang w:val="en-US"/>
              </w:rPr>
              <w:t>≤</w:t>
            </w:r>
            <w:r>
              <w:rPr>
                <w:rFonts w:cs="Arial"/>
                <w:kern w:val="2"/>
                <w:sz w:val="18"/>
                <w:szCs w:val="18"/>
                <w:lang w:val="en-US"/>
              </w:rPr>
              <w:t>R d</w:t>
            </w:r>
            <w:r>
              <w:rPr>
                <w:rFonts w:hint="eastAsia" w:cs="Arial"/>
                <w:kern w:val="2"/>
                <w:sz w:val="18"/>
                <w:szCs w:val="18"/>
                <w:lang w:val="en-US"/>
              </w:rPr>
              <w:t>＜</w:t>
            </w:r>
            <w:r>
              <w:rPr>
                <w:rFonts w:cs="Arial"/>
                <w:kern w:val="2"/>
                <w:sz w:val="18"/>
                <w:szCs w:val="18"/>
                <w:lang w:val="en-US"/>
              </w:rPr>
              <w:t xml:space="preserve">12% </w:t>
            </w:r>
            <w:r>
              <w:rPr>
                <w:rFonts w:hint="eastAsia" w:cs="Arial"/>
                <w:kern w:val="2"/>
                <w:sz w:val="18"/>
                <w:szCs w:val="18"/>
                <w:lang w:val="en-US"/>
              </w:rPr>
              <w:t>或</w:t>
            </w:r>
            <w:r>
              <w:rPr>
                <w:rFonts w:cs="Arial"/>
                <w:kern w:val="2"/>
                <w:sz w:val="18"/>
                <w:szCs w:val="18"/>
                <w:lang w:val="en-US"/>
              </w:rPr>
              <w:t xml:space="preserve"> 45%</w:t>
            </w:r>
            <w:r>
              <w:rPr>
                <w:rFonts w:hint="eastAsia" w:cs="Arial"/>
                <w:kern w:val="2"/>
                <w:sz w:val="18"/>
                <w:szCs w:val="18"/>
                <w:lang w:val="en-US"/>
              </w:rPr>
              <w:t>≤</w:t>
            </w:r>
            <w:r>
              <w:rPr>
                <w:rFonts w:cs="Arial"/>
                <w:kern w:val="2"/>
                <w:sz w:val="18"/>
                <w:szCs w:val="18"/>
                <w:lang w:val="en-US"/>
              </w:rPr>
              <w:t>R c</w:t>
            </w:r>
            <w:r>
              <w:rPr>
                <w:rFonts w:hint="eastAsia" w:cs="Arial"/>
                <w:kern w:val="2"/>
                <w:sz w:val="18"/>
                <w:szCs w:val="18"/>
                <w:lang w:val="en-US"/>
              </w:rPr>
              <w:t>＜</w:t>
            </w:r>
            <w:r>
              <w:rPr>
                <w:rFonts w:cs="Arial"/>
                <w:kern w:val="2"/>
                <w:sz w:val="18"/>
                <w:szCs w:val="18"/>
                <w:lang w:val="en-US"/>
              </w:rPr>
              <w:t>50%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cs="Arial"/>
                <w:kern w:val="2"/>
                <w:sz w:val="18"/>
                <w:szCs w:val="18"/>
                <w:lang w:val="en-US"/>
              </w:rPr>
            </w:pPr>
            <w:r>
              <w:rPr>
                <w:rFonts w:cs="Arial"/>
                <w:kern w:val="2"/>
                <w:sz w:val="18"/>
                <w:szCs w:val="18"/>
                <w:lang w:val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46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cs="Arial"/>
                <w:kern w:val="2"/>
                <w:sz w:val="18"/>
                <w:szCs w:val="18"/>
                <w:lang w:val="en-US"/>
              </w:rPr>
            </w:pPr>
            <w:r>
              <w:rPr>
                <w:rFonts w:cs="Arial"/>
                <w:kern w:val="2"/>
                <w:sz w:val="18"/>
                <w:szCs w:val="18"/>
                <w:lang w:val="en-US"/>
              </w:rPr>
              <w:t>12%</w:t>
            </w:r>
            <w:r>
              <w:rPr>
                <w:rFonts w:hint="eastAsia" w:cs="Arial"/>
                <w:kern w:val="2"/>
                <w:sz w:val="18"/>
                <w:szCs w:val="18"/>
                <w:lang w:val="en-US"/>
              </w:rPr>
              <w:t>≤</w:t>
            </w:r>
            <w:r>
              <w:rPr>
                <w:rFonts w:cs="Arial"/>
                <w:kern w:val="2"/>
                <w:sz w:val="18"/>
                <w:szCs w:val="18"/>
                <w:lang w:val="en-US"/>
              </w:rPr>
              <w:t>R d</w:t>
            </w:r>
            <w:r>
              <w:rPr>
                <w:rFonts w:hint="eastAsia" w:cs="Arial"/>
                <w:kern w:val="2"/>
                <w:sz w:val="18"/>
                <w:szCs w:val="18"/>
                <w:lang w:val="en-US"/>
              </w:rPr>
              <w:t>＜</w:t>
            </w:r>
            <w:r>
              <w:rPr>
                <w:rFonts w:cs="Arial"/>
                <w:kern w:val="2"/>
                <w:sz w:val="18"/>
                <w:szCs w:val="18"/>
                <w:lang w:val="en-US"/>
              </w:rPr>
              <w:t xml:space="preserve">14% </w:t>
            </w:r>
            <w:r>
              <w:rPr>
                <w:rFonts w:hint="eastAsia" w:cs="Arial"/>
                <w:kern w:val="2"/>
                <w:sz w:val="18"/>
                <w:szCs w:val="18"/>
                <w:lang w:val="en-US"/>
              </w:rPr>
              <w:t>或</w:t>
            </w:r>
            <w:r>
              <w:rPr>
                <w:rFonts w:cs="Arial"/>
                <w:kern w:val="2"/>
                <w:sz w:val="18"/>
                <w:szCs w:val="18"/>
                <w:lang w:val="en-US"/>
              </w:rPr>
              <w:t xml:space="preserve"> 50%</w:t>
            </w:r>
            <w:r>
              <w:rPr>
                <w:rFonts w:hint="eastAsia" w:cs="Arial"/>
                <w:kern w:val="2"/>
                <w:sz w:val="18"/>
                <w:szCs w:val="18"/>
                <w:lang w:val="en-US"/>
              </w:rPr>
              <w:t>≤</w:t>
            </w:r>
            <w:r>
              <w:rPr>
                <w:rFonts w:cs="Arial"/>
                <w:kern w:val="2"/>
                <w:sz w:val="18"/>
                <w:szCs w:val="18"/>
                <w:lang w:val="en-US"/>
              </w:rPr>
              <w:t>R c</w:t>
            </w:r>
            <w:r>
              <w:rPr>
                <w:rFonts w:hint="eastAsia" w:cs="Arial"/>
                <w:kern w:val="2"/>
                <w:sz w:val="18"/>
                <w:szCs w:val="18"/>
                <w:lang w:val="en-US"/>
              </w:rPr>
              <w:t>＜</w:t>
            </w:r>
            <w:r>
              <w:rPr>
                <w:rFonts w:cs="Arial"/>
                <w:kern w:val="2"/>
                <w:sz w:val="18"/>
                <w:szCs w:val="18"/>
                <w:lang w:val="en-US"/>
              </w:rPr>
              <w:t>55%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cs="Arial"/>
                <w:kern w:val="2"/>
                <w:sz w:val="18"/>
                <w:szCs w:val="18"/>
                <w:lang w:val="en-US"/>
              </w:rPr>
            </w:pPr>
            <w:r>
              <w:rPr>
                <w:rFonts w:cs="Arial"/>
                <w:kern w:val="2"/>
                <w:sz w:val="18"/>
                <w:szCs w:val="18"/>
                <w:lang w:val="en-US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46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cs="Arial"/>
                <w:kern w:val="2"/>
                <w:sz w:val="18"/>
                <w:szCs w:val="18"/>
                <w:lang w:val="en-US"/>
              </w:rPr>
            </w:pPr>
            <w:r>
              <w:rPr>
                <w:rFonts w:cs="Arial"/>
                <w:kern w:val="2"/>
                <w:sz w:val="18"/>
                <w:szCs w:val="18"/>
                <w:lang w:val="en-US"/>
              </w:rPr>
              <w:t>R d</w:t>
            </w:r>
            <w:r>
              <w:rPr>
                <w:rFonts w:hint="eastAsia" w:cs="Arial"/>
                <w:kern w:val="2"/>
                <w:sz w:val="18"/>
                <w:szCs w:val="18"/>
                <w:lang w:val="en-US"/>
              </w:rPr>
              <w:t>≥</w:t>
            </w:r>
            <w:r>
              <w:rPr>
                <w:rFonts w:cs="Arial"/>
                <w:kern w:val="2"/>
                <w:sz w:val="18"/>
                <w:szCs w:val="18"/>
                <w:lang w:val="en-US"/>
              </w:rPr>
              <w:t xml:space="preserve">14% </w:t>
            </w:r>
            <w:r>
              <w:rPr>
                <w:rFonts w:hint="eastAsia" w:cs="Arial"/>
                <w:kern w:val="2"/>
                <w:sz w:val="18"/>
                <w:szCs w:val="18"/>
                <w:lang w:val="en-US"/>
              </w:rPr>
              <w:t>或</w:t>
            </w:r>
            <w:r>
              <w:rPr>
                <w:rFonts w:cs="Arial"/>
                <w:kern w:val="2"/>
                <w:sz w:val="18"/>
                <w:szCs w:val="18"/>
                <w:lang w:val="en-US"/>
              </w:rPr>
              <w:t xml:space="preserve"> R c</w:t>
            </w:r>
            <w:r>
              <w:rPr>
                <w:rFonts w:hint="eastAsia" w:cs="Arial"/>
                <w:kern w:val="2"/>
                <w:sz w:val="18"/>
                <w:szCs w:val="18"/>
                <w:lang w:val="en-US"/>
              </w:rPr>
              <w:t>≥</w:t>
            </w:r>
            <w:r>
              <w:rPr>
                <w:rFonts w:cs="Arial"/>
                <w:kern w:val="2"/>
                <w:sz w:val="18"/>
                <w:szCs w:val="18"/>
                <w:lang w:val="en-US"/>
              </w:rPr>
              <w:t>55%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cs="Arial"/>
                <w:kern w:val="2"/>
                <w:sz w:val="18"/>
                <w:szCs w:val="18"/>
                <w:lang w:val="en-US"/>
              </w:rPr>
            </w:pPr>
            <w:r>
              <w:rPr>
                <w:rFonts w:cs="Arial"/>
                <w:kern w:val="2"/>
                <w:sz w:val="18"/>
                <w:szCs w:val="18"/>
                <w:lang w:val="en-US"/>
              </w:rPr>
              <w:t>5</w:t>
            </w:r>
          </w:p>
        </w:tc>
      </w:tr>
    </w:tbl>
    <w:p>
      <w:pPr>
        <w:pStyle w:val="2"/>
        <w:rPr>
          <w:color w:val="FF0000"/>
        </w:rPr>
      </w:pPr>
      <w:bookmarkStart w:id="24" w:name="_Toc420663551"/>
      <w:r>
        <w:rPr>
          <w:rFonts w:hint="eastAsia"/>
          <w:color w:val="FF0000"/>
        </w:rPr>
        <w:t>计算</w:t>
      </w:r>
      <w:bookmarkEnd w:id="24"/>
      <w:r>
        <w:rPr>
          <w:rFonts w:hint="eastAsia"/>
          <w:color w:val="FF0000"/>
        </w:rPr>
        <w:t>方法</w:t>
      </w:r>
    </w:p>
    <w:p>
      <w:pPr>
        <w:widowControl w:val="0"/>
        <w:ind w:firstLine="420" w:firstLineChars="200"/>
        <w:jc w:val="both"/>
        <w:rPr>
          <w:color w:val="FF0000"/>
          <w:kern w:val="2"/>
          <w:szCs w:val="24"/>
          <w:lang w:val="en-US"/>
        </w:rPr>
      </w:pPr>
      <w:r>
        <w:rPr>
          <w:rFonts w:hint="eastAsia"/>
          <w:color w:val="FF0000"/>
          <w:kern w:val="2"/>
          <w:szCs w:val="24"/>
          <w:lang w:val="en-US"/>
        </w:rPr>
        <w:t>通风开口面积的确定，依据绿标条文说明进行</w:t>
      </w:r>
      <w:r>
        <w:rPr>
          <w:rStyle w:val="24"/>
          <w:color w:val="FF0000"/>
          <w:kern w:val="2"/>
          <w:szCs w:val="24"/>
          <w:lang w:val="en-US"/>
        </w:rPr>
        <w:footnoteReference w:id="0"/>
      </w:r>
      <w:r>
        <w:rPr>
          <w:color w:val="FF0000"/>
          <w:kern w:val="2"/>
          <w:szCs w:val="24"/>
          <w:lang w:val="en-US"/>
        </w:rPr>
        <w:t>。</w:t>
      </w:r>
    </w:p>
    <w:p>
      <w:pPr>
        <w:widowControl w:val="0"/>
        <w:ind w:left="1050" w:leftChars="500"/>
        <w:rPr>
          <w:kern w:val="2"/>
        </w:rPr>
        <w:sectPr>
          <w:pgSz w:w="11906" w:h="16838"/>
          <w:pgMar w:top="1440" w:right="1418" w:bottom="1440" w:left="1418" w:header="851" w:footer="567" w:gutter="0"/>
          <w:cols w:space="425" w:num="1"/>
          <w:docGrid w:type="lines" w:linePitch="312" w:charSpace="0"/>
        </w:sectPr>
      </w:pPr>
    </w:p>
    <w:p>
      <w:pPr>
        <w:pStyle w:val="2"/>
        <w:rPr>
          <w:sz w:val="21"/>
          <w:szCs w:val="24"/>
        </w:rPr>
      </w:pPr>
      <w:r>
        <w:rPr>
          <w:rFonts w:hint="eastAsia"/>
        </w:rPr>
        <w:t>通风开口面积比例统计</w:t>
      </w:r>
    </w:p>
    <w:p>
      <w:pPr>
        <w:widowControl w:val="0"/>
        <w:jc w:val="center"/>
        <w:rPr>
          <w:kern w:val="2"/>
          <w:sz w:val="18"/>
          <w:szCs w:val="18"/>
          <w:lang w:val="en-US"/>
        </w:rPr>
      </w:pPr>
      <w:r>
        <w:rPr>
          <w:rFonts w:hint="eastAsia"/>
          <w:kern w:val="2"/>
          <w:sz w:val="18"/>
          <w:szCs w:val="18"/>
          <w:lang w:val="en-US"/>
        </w:rPr>
        <w:t>表1-建筑通风开口面积与外窗面积比例统计表</w:t>
      </w:r>
    </w:p>
    <w:p>
      <w:pPr>
        <w:widowControl w:val="0"/>
        <w:rPr>
          <w:kern w:val="2"/>
          <w:szCs w:val="24"/>
          <w:lang w:val="en-US"/>
        </w:rPr>
      </w:pPr>
      <w:bookmarkStart w:id="25" w:name="外窗表标示"/>
      <w:r>
        <w:rPr>
          <w:rFonts w:hint="eastAsia"/>
          <w:kern w:val="2"/>
          <w:szCs w:val="24"/>
          <w:lang w:val="en-US"/>
        </w:rPr>
        <w:t>外窗</w:t>
      </w:r>
    </w:p>
    <w:p>
      <w:pPr>
        <w:pStyle w:val="25"/>
        <w:numPr>
          <w:ilvl w:val="0"/>
          <w:numId w:val="2"/>
        </w:numPr>
        <w:ind w:firstLineChars="0"/>
        <w:rPr>
          <w:rFonts w:ascii="微软雅黑" w:hAnsi="微软雅黑"/>
          <w:szCs w:val="24"/>
        </w:rPr>
      </w:pPr>
      <w:r>
        <w:rPr>
          <w:rFonts w:hint="eastAsia" w:ascii="微软雅黑" w:hAnsi="微软雅黑"/>
          <w:szCs w:val="24"/>
        </w:rPr>
        <w:t>南向</w:t>
      </w:r>
    </w:p>
    <w:tbl>
      <w:tblPr>
        <w:tblStyle w:val="20"/>
        <w:tblW w:w="1382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外窗通风开口面积尺寸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BYC1026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2.60</w:t>
            </w:r>
          </w:p>
        </w:tc>
        <w:tc>
          <w:tcPr>
            <w:vAlign w:val="center"/>
          </w:tcPr>
          <w:p>
            <w:r>
              <w:t>2.60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BYC1030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PC2121</w:t>
            </w:r>
          </w:p>
        </w:tc>
        <w:tc>
          <w:tcPr>
            <w:vMerge w:val="restart"/>
            <w:vAlign w:val="center"/>
          </w:tcPr>
          <w:p>
            <w:r>
              <w:t>推拉窗-左右开、平开窗-左合页</w:t>
            </w:r>
          </w:p>
        </w:tc>
        <w:tc>
          <w:tcPr>
            <w:vMerge w:val="restart"/>
            <w:vAlign w:val="center"/>
          </w:tcPr>
          <w:p>
            <w:r>
              <w:t>8</w:t>
            </w:r>
          </w:p>
        </w:tc>
        <w:tc>
          <w:tcPr>
            <w:vMerge w:val="restart"/>
            <w:vAlign w:val="center"/>
          </w:tcPr>
          <w:p>
            <w:r>
              <w:t>2.10</w:t>
            </w:r>
          </w:p>
        </w:tc>
        <w:tc>
          <w:tcPr>
            <w:vMerge w:val="restart"/>
            <w:vAlign w:val="center"/>
          </w:tcPr>
          <w:p>
            <w:r>
              <w:t>2.10</w:t>
            </w:r>
          </w:p>
        </w:tc>
        <w:tc>
          <w:tcPr>
            <w:vMerge w:val="restart"/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4.41</w:t>
            </w:r>
          </w:p>
        </w:tc>
        <w:tc>
          <w:tcPr>
            <w:vMerge w:val="restart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PC2127</w:t>
            </w:r>
          </w:p>
        </w:tc>
        <w:tc>
          <w:tcPr>
            <w:vMerge w:val="restart"/>
            <w:vAlign w:val="center"/>
          </w:tcPr>
          <w:p>
            <w:r>
              <w:t>推拉窗-左右开、平开窗-左合页</w:t>
            </w:r>
          </w:p>
        </w:tc>
        <w:tc>
          <w:tcPr>
            <w:vMerge w:val="restart"/>
            <w:vAlign w:val="center"/>
          </w:tcPr>
          <w:p>
            <w:r>
              <w:t>8</w:t>
            </w:r>
          </w:p>
        </w:tc>
        <w:tc>
          <w:tcPr>
            <w:vMerge w:val="restart"/>
            <w:vAlign w:val="center"/>
          </w:tcPr>
          <w:p>
            <w:r>
              <w:t>2.10</w:t>
            </w:r>
          </w:p>
        </w:tc>
        <w:tc>
          <w:tcPr>
            <w:vMerge w:val="restart"/>
            <w:vAlign w:val="center"/>
          </w:tcPr>
          <w:p>
            <w:r>
              <w:t>2.70</w:t>
            </w:r>
          </w:p>
        </w:tc>
        <w:tc>
          <w:tcPr>
            <w:vMerge w:val="restart"/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5.67</w:t>
            </w:r>
          </w:p>
        </w:tc>
        <w:tc>
          <w:tcPr>
            <w:vMerge w:val="restart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135.84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80.64</w:t>
            </w:r>
          </w:p>
        </w:tc>
        <w:tc>
          <w:tcPr>
            <w:vAlign w:val="center"/>
          </w:tcPr>
          <w:p>
            <w:r>
              <w:t>59</w:t>
            </w:r>
          </w:p>
        </w:tc>
      </w:tr>
    </w:tbl>
    <w:p>
      <w:pPr>
        <w:rPr>
          <w:szCs w:val="24"/>
        </w:rPr>
      </w:pPr>
      <w:bookmarkStart w:id="26" w:name="外窗统计计算表南向"/>
      <w:bookmarkEnd w:id="26"/>
    </w:p>
    <w:p>
      <w:pPr>
        <w:pStyle w:val="25"/>
        <w:numPr>
          <w:ilvl w:val="0"/>
          <w:numId w:val="2"/>
        </w:numPr>
        <w:ind w:firstLineChars="0"/>
        <w:rPr>
          <w:rFonts w:ascii="微软雅黑" w:hAnsi="微软雅黑"/>
          <w:szCs w:val="24"/>
        </w:rPr>
      </w:pPr>
      <w:r>
        <w:rPr>
          <w:rFonts w:hint="eastAsia" w:ascii="微软雅黑" w:hAnsi="微软雅黑"/>
          <w:szCs w:val="24"/>
        </w:rPr>
        <w:t>北向</w:t>
      </w:r>
    </w:p>
    <w:tbl>
      <w:tblPr>
        <w:tblStyle w:val="20"/>
        <w:tblW w:w="1382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外窗通风开口面积尺寸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PC1221</w:t>
            </w:r>
          </w:p>
        </w:tc>
        <w:tc>
          <w:tcPr>
            <w:vMerge w:val="restart"/>
            <w:vAlign w:val="center"/>
          </w:tcPr>
          <w:p>
            <w:r>
              <w:t>推拉窗-左右开、平开窗-左合页、平开窗-右合页</w:t>
            </w:r>
          </w:p>
        </w:tc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1.20</w:t>
            </w:r>
          </w:p>
        </w:tc>
        <w:tc>
          <w:tcPr>
            <w:vMerge w:val="restart"/>
            <w:vAlign w:val="center"/>
          </w:tcPr>
          <w:p>
            <w:r>
              <w:t>2.10</w:t>
            </w:r>
          </w:p>
        </w:tc>
        <w:tc>
          <w:tcPr>
            <w:vMerge w:val="restart"/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2.52</w:t>
            </w:r>
          </w:p>
        </w:tc>
        <w:tc>
          <w:tcPr>
            <w:vMerge w:val="restart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PC1226</w:t>
            </w:r>
          </w:p>
        </w:tc>
        <w:tc>
          <w:tcPr>
            <w:vMerge w:val="restart"/>
            <w:vAlign w:val="center"/>
          </w:tcPr>
          <w:p>
            <w:r>
              <w:t>推拉窗-左右开、平开窗-左合页、平开窗-右合页</w:t>
            </w:r>
          </w:p>
        </w:tc>
        <w:tc>
          <w:tcPr>
            <w:vMerge w:val="restart"/>
            <w:vAlign w:val="center"/>
          </w:tcPr>
          <w:p>
            <w:r>
              <w:t>8</w:t>
            </w:r>
          </w:p>
        </w:tc>
        <w:tc>
          <w:tcPr>
            <w:vMerge w:val="restart"/>
            <w:vAlign w:val="center"/>
          </w:tcPr>
          <w:p>
            <w:r>
              <w:t>1.20</w:t>
            </w:r>
          </w:p>
        </w:tc>
        <w:tc>
          <w:tcPr>
            <w:vMerge w:val="restart"/>
            <w:vAlign w:val="center"/>
          </w:tcPr>
          <w:p>
            <w:r>
              <w:t>2.60</w:t>
            </w:r>
          </w:p>
        </w:tc>
        <w:tc>
          <w:tcPr>
            <w:vMerge w:val="restart"/>
            <w:vAlign w:val="center"/>
          </w:tcPr>
          <w:p>
            <w:r>
              <w:t>3.12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3.12</w:t>
            </w:r>
          </w:p>
        </w:tc>
        <w:tc>
          <w:tcPr>
            <w:vMerge w:val="restart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PC1229</w:t>
            </w:r>
          </w:p>
        </w:tc>
        <w:tc>
          <w:tcPr>
            <w:vMerge w:val="restart"/>
            <w:vAlign w:val="center"/>
          </w:tcPr>
          <w:p>
            <w:r>
              <w:t>推拉窗-左右开、平开窗-左合页、平开窗-右合页</w:t>
            </w:r>
          </w:p>
        </w:tc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1.20</w:t>
            </w:r>
          </w:p>
        </w:tc>
        <w:tc>
          <w:tcPr>
            <w:vMerge w:val="restart"/>
            <w:vAlign w:val="center"/>
          </w:tcPr>
          <w:p>
            <w:r>
              <w:t>2.90</w:t>
            </w:r>
          </w:p>
        </w:tc>
        <w:tc>
          <w:tcPr>
            <w:vMerge w:val="restart"/>
            <w:vAlign w:val="center"/>
          </w:tcPr>
          <w:p>
            <w:r>
              <w:t>3.48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3.48</w:t>
            </w:r>
          </w:p>
        </w:tc>
        <w:tc>
          <w:tcPr>
            <w:vMerge w:val="restart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36.96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36.96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</w:tbl>
    <w:p>
      <w:pPr>
        <w:rPr>
          <w:szCs w:val="24"/>
        </w:rPr>
      </w:pPr>
      <w:bookmarkStart w:id="27" w:name="外窗统计计算表北向"/>
      <w:bookmarkEnd w:id="27"/>
    </w:p>
    <w:p>
      <w:pPr>
        <w:pStyle w:val="25"/>
        <w:numPr>
          <w:ilvl w:val="0"/>
          <w:numId w:val="2"/>
        </w:numPr>
        <w:ind w:firstLineChars="0"/>
        <w:rPr>
          <w:rFonts w:ascii="微软雅黑" w:hAnsi="微软雅黑"/>
          <w:szCs w:val="24"/>
        </w:rPr>
      </w:pPr>
      <w:r>
        <w:rPr>
          <w:rFonts w:hint="eastAsia" w:ascii="微软雅黑" w:hAnsi="微软雅黑"/>
          <w:szCs w:val="24"/>
        </w:rPr>
        <w:t>东向</w:t>
      </w:r>
    </w:p>
    <w:tbl>
      <w:tblPr>
        <w:tblStyle w:val="20"/>
        <w:tblW w:w="1382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外窗通风开口面积尺寸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PC1821</w:t>
            </w:r>
          </w:p>
        </w:tc>
        <w:tc>
          <w:tcPr>
            <w:vMerge w:val="restart"/>
            <w:vAlign w:val="center"/>
          </w:tcPr>
          <w:p>
            <w:r>
              <w:t>推拉窗-左右开、平开窗-左合页、平开窗-右合页</w:t>
            </w:r>
          </w:p>
        </w:tc>
        <w:tc>
          <w:tcPr>
            <w:vMerge w:val="restart"/>
            <w:vAlign w:val="center"/>
          </w:tcPr>
          <w:p>
            <w:r>
              <w:t>3</w:t>
            </w:r>
          </w:p>
        </w:tc>
        <w:tc>
          <w:tcPr>
            <w:vMerge w:val="restart"/>
            <w:vAlign w:val="center"/>
          </w:tcPr>
          <w:p>
            <w:r>
              <w:t>1.80</w:t>
            </w:r>
          </w:p>
        </w:tc>
        <w:tc>
          <w:tcPr>
            <w:vMerge w:val="restart"/>
            <w:vAlign w:val="center"/>
          </w:tcPr>
          <w:p>
            <w:r>
              <w:t>2.10</w:t>
            </w:r>
          </w:p>
        </w:tc>
        <w:tc>
          <w:tcPr>
            <w:vMerge w:val="restart"/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Merge w:val="restart"/>
            <w:vAlign w:val="center"/>
          </w:tcPr>
          <w:p>
            <w:r>
              <w:t>3.78</w:t>
            </w:r>
          </w:p>
        </w:tc>
        <w:tc>
          <w:tcPr>
            <w:vMerge w:val="restart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PC1829</w:t>
            </w:r>
          </w:p>
        </w:tc>
        <w:tc>
          <w:tcPr>
            <w:vMerge w:val="restart"/>
            <w:vAlign w:val="center"/>
          </w:tcPr>
          <w:p>
            <w:r>
              <w:t>推拉窗-左右开、平开窗-左合页、平开窗-右合页</w:t>
            </w:r>
          </w:p>
        </w:tc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1.80</w:t>
            </w:r>
          </w:p>
        </w:tc>
        <w:tc>
          <w:tcPr>
            <w:vMerge w:val="restart"/>
            <w:vAlign w:val="center"/>
          </w:tcPr>
          <w:p>
            <w:r>
              <w:t>2.90</w:t>
            </w:r>
          </w:p>
        </w:tc>
        <w:tc>
          <w:tcPr>
            <w:vMerge w:val="restart"/>
            <w:vAlign w:val="center"/>
          </w:tcPr>
          <w:p>
            <w:r>
              <w:t>5.22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Merge w:val="restart"/>
            <w:vAlign w:val="center"/>
          </w:tcPr>
          <w:p>
            <w:r>
              <w:t>5.22</w:t>
            </w:r>
          </w:p>
        </w:tc>
        <w:tc>
          <w:tcPr>
            <w:vMerge w:val="restart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16.56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16.56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</w:tbl>
    <w:p>
      <w:pPr>
        <w:rPr>
          <w:szCs w:val="24"/>
        </w:rPr>
      </w:pPr>
      <w:bookmarkStart w:id="28" w:name="外窗统计计算表东向"/>
      <w:bookmarkEnd w:id="28"/>
    </w:p>
    <w:p>
      <w:pPr>
        <w:pStyle w:val="25"/>
        <w:numPr>
          <w:ilvl w:val="0"/>
          <w:numId w:val="2"/>
        </w:numPr>
        <w:ind w:firstLineChars="0"/>
        <w:rPr>
          <w:rFonts w:ascii="微软雅黑" w:hAnsi="微软雅黑"/>
          <w:szCs w:val="24"/>
        </w:rPr>
      </w:pPr>
      <w:r>
        <w:rPr>
          <w:rFonts w:hint="eastAsia" w:ascii="微软雅黑" w:hAnsi="微软雅黑"/>
          <w:szCs w:val="24"/>
        </w:rPr>
        <w:t>西向</w:t>
      </w:r>
    </w:p>
    <w:tbl>
      <w:tblPr>
        <w:tblStyle w:val="20"/>
        <w:tblW w:w="1382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外窗通风开口面积尺寸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PC1821</w:t>
            </w:r>
          </w:p>
        </w:tc>
        <w:tc>
          <w:tcPr>
            <w:vMerge w:val="restart"/>
            <w:vAlign w:val="center"/>
          </w:tcPr>
          <w:p>
            <w:r>
              <w:t>推拉窗-左右开、平开窗-左合页、平开窗-右合页</w:t>
            </w:r>
          </w:p>
        </w:tc>
        <w:tc>
          <w:tcPr>
            <w:vMerge w:val="restart"/>
            <w:vAlign w:val="center"/>
          </w:tcPr>
          <w:p>
            <w:r>
              <w:t>3</w:t>
            </w:r>
          </w:p>
        </w:tc>
        <w:tc>
          <w:tcPr>
            <w:vMerge w:val="restart"/>
            <w:vAlign w:val="center"/>
          </w:tcPr>
          <w:p>
            <w:r>
              <w:t>1.80</w:t>
            </w:r>
          </w:p>
        </w:tc>
        <w:tc>
          <w:tcPr>
            <w:vMerge w:val="restart"/>
            <w:vAlign w:val="center"/>
          </w:tcPr>
          <w:p>
            <w:r>
              <w:t>2.10</w:t>
            </w:r>
          </w:p>
        </w:tc>
        <w:tc>
          <w:tcPr>
            <w:vMerge w:val="restart"/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Merge w:val="restart"/>
            <w:vAlign w:val="center"/>
          </w:tcPr>
          <w:p>
            <w:r>
              <w:t>3.78</w:t>
            </w:r>
          </w:p>
        </w:tc>
        <w:tc>
          <w:tcPr>
            <w:vMerge w:val="restart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PC1829</w:t>
            </w:r>
          </w:p>
        </w:tc>
        <w:tc>
          <w:tcPr>
            <w:vMerge w:val="restart"/>
            <w:vAlign w:val="center"/>
          </w:tcPr>
          <w:p>
            <w:r>
              <w:t>推拉窗-左右开、平开窗-左合页、平开窗-右合页</w:t>
            </w:r>
          </w:p>
        </w:tc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1.80</w:t>
            </w:r>
          </w:p>
        </w:tc>
        <w:tc>
          <w:tcPr>
            <w:vMerge w:val="restart"/>
            <w:vAlign w:val="center"/>
          </w:tcPr>
          <w:p>
            <w:r>
              <w:t>2.90</w:t>
            </w:r>
          </w:p>
        </w:tc>
        <w:tc>
          <w:tcPr>
            <w:vMerge w:val="restart"/>
            <w:vAlign w:val="center"/>
          </w:tcPr>
          <w:p>
            <w:r>
              <w:t>5.22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Merge w:val="restart"/>
            <w:vAlign w:val="center"/>
          </w:tcPr>
          <w:p>
            <w:r>
              <w:t>5.22</w:t>
            </w:r>
          </w:p>
        </w:tc>
        <w:tc>
          <w:tcPr>
            <w:vMerge w:val="restart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TC1215</w:t>
            </w:r>
          </w:p>
        </w:tc>
        <w:tc>
          <w:tcPr>
            <w:vAlign w:val="center"/>
          </w:tcPr>
          <w:p>
            <w:r>
              <w:t>推拉窗-向左开、推拉窗-向右开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TC1221</w:t>
            </w:r>
          </w:p>
        </w:tc>
        <w:tc>
          <w:tcPr>
            <w:vMerge w:val="restart"/>
            <w:vAlign w:val="center"/>
          </w:tcPr>
          <w:p>
            <w:r>
              <w:t>推拉窗-左右开、推拉窗-向左开、推拉窗-向右开</w:t>
            </w:r>
          </w:p>
        </w:tc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1.20</w:t>
            </w:r>
          </w:p>
        </w:tc>
        <w:tc>
          <w:tcPr>
            <w:vMerge w:val="restart"/>
            <w:vAlign w:val="center"/>
          </w:tcPr>
          <w:p>
            <w:r>
              <w:t>2.10</w:t>
            </w:r>
          </w:p>
        </w:tc>
        <w:tc>
          <w:tcPr>
            <w:vMerge w:val="restart"/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2.52</w:t>
            </w:r>
          </w:p>
        </w:tc>
        <w:tc>
          <w:tcPr>
            <w:vMerge w:val="restart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</w:tbl>
    <w:p>
      <w:pPr>
        <w:rPr>
          <w:szCs w:val="24"/>
        </w:rPr>
      </w:pPr>
      <w:bookmarkStart w:id="29" w:name="外窗统计计算表西向"/>
      <w:bookmarkEnd w:id="29"/>
    </w:p>
    <w:p>
      <w:pPr>
        <w:pStyle w:val="25"/>
        <w:numPr>
          <w:ilvl w:val="0"/>
          <w:numId w:val="2"/>
        </w:numPr>
        <w:ind w:firstLineChars="0"/>
        <w:rPr>
          <w:rFonts w:ascii="微软雅黑" w:hAnsi="微软雅黑"/>
          <w:szCs w:val="24"/>
        </w:rPr>
      </w:pPr>
      <w:r>
        <w:rPr>
          <w:rFonts w:hint="eastAsia" w:ascii="微软雅黑" w:hAnsi="微软雅黑"/>
          <w:szCs w:val="24"/>
        </w:rPr>
        <w:t>总计</w:t>
      </w:r>
    </w:p>
    <w:tbl>
      <w:tblPr>
        <w:tblStyle w:val="20"/>
        <w:tblW w:w="1382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外窗通风开口面积尺寸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BYC1026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2.60</w:t>
            </w:r>
          </w:p>
        </w:tc>
        <w:tc>
          <w:tcPr>
            <w:vAlign w:val="center"/>
          </w:tcPr>
          <w:p>
            <w:r>
              <w:t>2.60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BYC1030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PC1221</w:t>
            </w:r>
          </w:p>
        </w:tc>
        <w:tc>
          <w:tcPr>
            <w:vMerge w:val="restart"/>
            <w:vAlign w:val="center"/>
          </w:tcPr>
          <w:p>
            <w:r>
              <w:t>推拉窗-左右开、平开窗-左合页、平开窗-右合页</w:t>
            </w:r>
          </w:p>
        </w:tc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1.20</w:t>
            </w:r>
          </w:p>
        </w:tc>
        <w:tc>
          <w:tcPr>
            <w:vMerge w:val="restart"/>
            <w:vAlign w:val="center"/>
          </w:tcPr>
          <w:p>
            <w:r>
              <w:t>2.10</w:t>
            </w:r>
          </w:p>
        </w:tc>
        <w:tc>
          <w:tcPr>
            <w:vMerge w:val="restart"/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2.52</w:t>
            </w:r>
          </w:p>
        </w:tc>
        <w:tc>
          <w:tcPr>
            <w:vMerge w:val="restart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PC1226</w:t>
            </w:r>
          </w:p>
        </w:tc>
        <w:tc>
          <w:tcPr>
            <w:vMerge w:val="restart"/>
            <w:vAlign w:val="center"/>
          </w:tcPr>
          <w:p>
            <w:r>
              <w:t>推拉窗-左右开、平开窗-左合页、平开窗-右合页</w:t>
            </w:r>
          </w:p>
        </w:tc>
        <w:tc>
          <w:tcPr>
            <w:vMerge w:val="restart"/>
            <w:vAlign w:val="center"/>
          </w:tcPr>
          <w:p>
            <w:r>
              <w:t>8</w:t>
            </w:r>
          </w:p>
        </w:tc>
        <w:tc>
          <w:tcPr>
            <w:vMerge w:val="restart"/>
            <w:vAlign w:val="center"/>
          </w:tcPr>
          <w:p>
            <w:r>
              <w:t>1.20</w:t>
            </w:r>
          </w:p>
        </w:tc>
        <w:tc>
          <w:tcPr>
            <w:vMerge w:val="restart"/>
            <w:vAlign w:val="center"/>
          </w:tcPr>
          <w:p>
            <w:r>
              <w:t>2.60</w:t>
            </w:r>
          </w:p>
        </w:tc>
        <w:tc>
          <w:tcPr>
            <w:vMerge w:val="restart"/>
            <w:vAlign w:val="center"/>
          </w:tcPr>
          <w:p>
            <w:r>
              <w:t>3.12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3.12</w:t>
            </w:r>
          </w:p>
        </w:tc>
        <w:tc>
          <w:tcPr>
            <w:vMerge w:val="restart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PC1229</w:t>
            </w:r>
          </w:p>
        </w:tc>
        <w:tc>
          <w:tcPr>
            <w:vMerge w:val="restart"/>
            <w:vAlign w:val="center"/>
          </w:tcPr>
          <w:p>
            <w:r>
              <w:t>推拉窗-左右开、平开窗-左合页、平开窗-右合页</w:t>
            </w:r>
          </w:p>
        </w:tc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1.20</w:t>
            </w:r>
          </w:p>
        </w:tc>
        <w:tc>
          <w:tcPr>
            <w:vMerge w:val="restart"/>
            <w:vAlign w:val="center"/>
          </w:tcPr>
          <w:p>
            <w:r>
              <w:t>2.90</w:t>
            </w:r>
          </w:p>
        </w:tc>
        <w:tc>
          <w:tcPr>
            <w:vMerge w:val="restart"/>
            <w:vAlign w:val="center"/>
          </w:tcPr>
          <w:p>
            <w:r>
              <w:t>3.48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3.48</w:t>
            </w:r>
          </w:p>
        </w:tc>
        <w:tc>
          <w:tcPr>
            <w:vMerge w:val="restart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PC1821</w:t>
            </w:r>
          </w:p>
        </w:tc>
        <w:tc>
          <w:tcPr>
            <w:vMerge w:val="restart"/>
            <w:vAlign w:val="center"/>
          </w:tcPr>
          <w:p>
            <w:r>
              <w:t>推拉窗-左右开、平开窗-左合页、平开窗-右合页</w:t>
            </w:r>
          </w:p>
        </w:tc>
        <w:tc>
          <w:tcPr>
            <w:vMerge w:val="restart"/>
            <w:vAlign w:val="center"/>
          </w:tcPr>
          <w:p>
            <w:r>
              <w:t>6</w:t>
            </w:r>
          </w:p>
        </w:tc>
        <w:tc>
          <w:tcPr>
            <w:vMerge w:val="restart"/>
            <w:vAlign w:val="center"/>
          </w:tcPr>
          <w:p>
            <w:r>
              <w:t>1.80</w:t>
            </w:r>
          </w:p>
        </w:tc>
        <w:tc>
          <w:tcPr>
            <w:vMerge w:val="restart"/>
            <w:vAlign w:val="center"/>
          </w:tcPr>
          <w:p>
            <w:r>
              <w:t>2.10</w:t>
            </w:r>
          </w:p>
        </w:tc>
        <w:tc>
          <w:tcPr>
            <w:vMerge w:val="restart"/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Merge w:val="restart"/>
            <w:vAlign w:val="center"/>
          </w:tcPr>
          <w:p>
            <w:r>
              <w:t>3.78</w:t>
            </w:r>
          </w:p>
        </w:tc>
        <w:tc>
          <w:tcPr>
            <w:vMerge w:val="restart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PC1829</w:t>
            </w:r>
          </w:p>
        </w:tc>
        <w:tc>
          <w:tcPr>
            <w:vMerge w:val="restart"/>
            <w:vAlign w:val="center"/>
          </w:tcPr>
          <w:p>
            <w:r>
              <w:t>推拉窗-左右开、平开窗-左合页、平开窗-右合页</w:t>
            </w:r>
          </w:p>
        </w:tc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1.80</w:t>
            </w:r>
          </w:p>
        </w:tc>
        <w:tc>
          <w:tcPr>
            <w:vMerge w:val="restart"/>
            <w:vAlign w:val="center"/>
          </w:tcPr>
          <w:p>
            <w:r>
              <w:t>2.90</w:t>
            </w:r>
          </w:p>
        </w:tc>
        <w:tc>
          <w:tcPr>
            <w:vMerge w:val="restart"/>
            <w:vAlign w:val="center"/>
          </w:tcPr>
          <w:p>
            <w:r>
              <w:t>5.22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Merge w:val="restart"/>
            <w:vAlign w:val="center"/>
          </w:tcPr>
          <w:p>
            <w:r>
              <w:t>5.22</w:t>
            </w:r>
          </w:p>
        </w:tc>
        <w:tc>
          <w:tcPr>
            <w:vMerge w:val="restart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PC2121</w:t>
            </w:r>
          </w:p>
        </w:tc>
        <w:tc>
          <w:tcPr>
            <w:vMerge w:val="restart"/>
            <w:vAlign w:val="center"/>
          </w:tcPr>
          <w:p>
            <w:r>
              <w:t>推拉窗-左右开、平开窗-左合页</w:t>
            </w:r>
          </w:p>
        </w:tc>
        <w:tc>
          <w:tcPr>
            <w:vMerge w:val="restart"/>
            <w:vAlign w:val="center"/>
          </w:tcPr>
          <w:p>
            <w:r>
              <w:t>8</w:t>
            </w:r>
          </w:p>
        </w:tc>
        <w:tc>
          <w:tcPr>
            <w:vMerge w:val="restart"/>
            <w:vAlign w:val="center"/>
          </w:tcPr>
          <w:p>
            <w:r>
              <w:t>2.10</w:t>
            </w:r>
          </w:p>
        </w:tc>
        <w:tc>
          <w:tcPr>
            <w:vMerge w:val="restart"/>
            <w:vAlign w:val="center"/>
          </w:tcPr>
          <w:p>
            <w:r>
              <w:t>2.10</w:t>
            </w:r>
          </w:p>
        </w:tc>
        <w:tc>
          <w:tcPr>
            <w:vMerge w:val="restart"/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4.41</w:t>
            </w:r>
          </w:p>
        </w:tc>
        <w:tc>
          <w:tcPr>
            <w:vMerge w:val="restart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PC2127</w:t>
            </w:r>
          </w:p>
        </w:tc>
        <w:tc>
          <w:tcPr>
            <w:vMerge w:val="restart"/>
            <w:vAlign w:val="center"/>
          </w:tcPr>
          <w:p>
            <w:r>
              <w:t>推拉窗-左右开、平开窗-左合页</w:t>
            </w:r>
          </w:p>
        </w:tc>
        <w:tc>
          <w:tcPr>
            <w:vMerge w:val="restart"/>
            <w:vAlign w:val="center"/>
          </w:tcPr>
          <w:p>
            <w:r>
              <w:t>8</w:t>
            </w:r>
          </w:p>
        </w:tc>
        <w:tc>
          <w:tcPr>
            <w:vMerge w:val="restart"/>
            <w:vAlign w:val="center"/>
          </w:tcPr>
          <w:p>
            <w:r>
              <w:t>2.10</w:t>
            </w:r>
          </w:p>
        </w:tc>
        <w:tc>
          <w:tcPr>
            <w:vMerge w:val="restart"/>
            <w:vAlign w:val="center"/>
          </w:tcPr>
          <w:p>
            <w:r>
              <w:t>2.70</w:t>
            </w:r>
          </w:p>
        </w:tc>
        <w:tc>
          <w:tcPr>
            <w:vMerge w:val="restart"/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5.67</w:t>
            </w:r>
          </w:p>
        </w:tc>
        <w:tc>
          <w:tcPr>
            <w:vMerge w:val="restart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TC1215</w:t>
            </w:r>
          </w:p>
        </w:tc>
        <w:tc>
          <w:tcPr>
            <w:vAlign w:val="center"/>
          </w:tcPr>
          <w:p>
            <w:r>
              <w:t>推拉窗-向左开、推拉窗-向右开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TC1221</w:t>
            </w:r>
          </w:p>
        </w:tc>
        <w:tc>
          <w:tcPr>
            <w:vMerge w:val="restart"/>
            <w:vAlign w:val="center"/>
          </w:tcPr>
          <w:p>
            <w:r>
              <w:t>推拉窗-左右开、推拉窗-向左开、推拉窗-向右开</w:t>
            </w:r>
          </w:p>
        </w:tc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1.20</w:t>
            </w:r>
          </w:p>
        </w:tc>
        <w:tc>
          <w:tcPr>
            <w:vMerge w:val="restart"/>
            <w:vAlign w:val="center"/>
          </w:tcPr>
          <w:p>
            <w:r>
              <w:t>2.10</w:t>
            </w:r>
          </w:p>
        </w:tc>
        <w:tc>
          <w:tcPr>
            <w:vMerge w:val="restart"/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2.52</w:t>
            </w:r>
          </w:p>
        </w:tc>
        <w:tc>
          <w:tcPr>
            <w:vMerge w:val="restart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216.00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160.80</w:t>
            </w:r>
          </w:p>
        </w:tc>
        <w:tc>
          <w:tcPr>
            <w:vAlign w:val="center"/>
          </w:tcPr>
          <w:p>
            <w:r>
              <w:t>74</w:t>
            </w:r>
          </w:p>
        </w:tc>
      </w:tr>
      <w:bookmarkEnd w:id="25"/>
    </w:tbl>
    <w:p>
      <w:pPr>
        <w:widowControl w:val="0"/>
        <w:jc w:val="both"/>
        <w:rPr>
          <w:kern w:val="2"/>
          <w:szCs w:val="24"/>
          <w:lang w:val="en-US"/>
        </w:rPr>
      </w:pPr>
      <w:bookmarkStart w:id="30" w:name="外窗统计计算表"/>
      <w:bookmarkEnd w:id="30"/>
    </w:p>
    <w:p>
      <w:pPr>
        <w:widowControl w:val="0"/>
        <w:rPr>
          <w:kern w:val="2"/>
          <w:szCs w:val="24"/>
          <w:lang w:val="en-US"/>
        </w:rPr>
        <w:sectPr>
          <w:headerReference r:id="rId6" w:type="default"/>
          <w:footerReference r:id="rId7" w:type="default"/>
          <w:pgSz w:w="16838" w:h="11906" w:orient="landscape"/>
          <w:pgMar w:top="1418" w:right="1440" w:bottom="1418" w:left="1440" w:header="851" w:footer="567" w:gutter="0"/>
          <w:cols w:space="425" w:num="1"/>
          <w:docGrid w:type="lines" w:linePitch="312" w:charSpace="0"/>
        </w:sectPr>
      </w:pPr>
    </w:p>
    <w:p>
      <w:pPr>
        <w:pStyle w:val="2"/>
      </w:pPr>
      <w:bookmarkStart w:id="31" w:name="_Toc420663553"/>
      <w:r>
        <w:rPr>
          <w:rFonts w:hint="eastAsia"/>
        </w:rPr>
        <w:t>结论</w:t>
      </w:r>
      <w:bookmarkEnd w:id="31"/>
    </w:p>
    <w:p>
      <w:pPr>
        <w:pStyle w:val="3"/>
        <w:ind w:left="360" w:firstLine="0" w:firstLineChars="0"/>
        <w:rPr>
          <w:rFonts w:ascii="微软雅黑" w:hAnsi="微软雅黑" w:eastAsia="微软雅黑"/>
        </w:rPr>
      </w:pPr>
      <w:bookmarkStart w:id="32" w:name="结论"/>
      <w:bookmarkEnd w:id="32"/>
      <w:r>
        <w:rPr>
          <w:rFonts w:ascii="微软雅黑" w:hAnsi="微软雅黑" w:eastAsia="微软雅黑"/>
        </w:rPr>
        <w:t>建筑外窗可开启面积比例为74.4%；得5分。</w:t>
      </w:r>
    </w:p>
    <w:p>
      <w:pPr>
        <w:pStyle w:val="3"/>
        <w:ind w:left="360" w:firstLine="0" w:firstLineChars="0"/>
        <w:rPr>
          <w:rFonts w:ascii="微软雅黑" w:hAnsi="微软雅黑" w:eastAsia="微软雅黑"/>
        </w:rPr>
      </w:pPr>
    </w:p>
    <w:p>
      <w:bookmarkStart w:id="33" w:name="门窗详图"/>
      <w:bookmarkEnd w:id="33"/>
    </w:p>
    <w:p/>
    <w:p>
      <w:pPr>
        <w:pStyle w:val="2"/>
      </w:pPr>
      <w:bookmarkStart w:id="34" w:name="_GoBack"/>
      <w:bookmarkEnd w:id="34"/>
      <w:r>
        <w:t>附录：门窗详图</w:t>
      </w:r>
    </w:p>
    <w:p>
      <w:r>
        <w:t>说明：红色线框表示窗洞，绿色线框表示开启扇。</w:t>
      </w:r>
    </w:p>
    <w:tbl>
      <w:tblPr>
        <w:tblStyle w:val="20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BYC1026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BYC1030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2.60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20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FM1022乙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FM1222乙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2.64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20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PC1221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PC1226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3.12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3.12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20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PC1229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PC1821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3.48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3.78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3.48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3.78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20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PC1829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PC2121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5.22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4.41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5.22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4.41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20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PC2127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PLM1625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4.00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4.00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20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TC1215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TC1221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2.52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20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TM2127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5.67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5.67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/>
    <w:sectPr>
      <w:headerReference r:id="rId8" w:type="default"/>
      <w:footerReference r:id="rId9" w:type="default"/>
      <w:pgSz w:w="11906" w:h="16838"/>
      <w:pgMar w:top="1440" w:right="1418" w:bottom="1440" w:left="1418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1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5"/>
            <w:spacing w:line="360" w:lineRule="exact"/>
            <w:rPr>
              <w:sz w:val="20"/>
              <w:szCs w:val="21"/>
            </w:rPr>
          </w:pPr>
        </w:p>
      </w:tc>
      <w:tc>
        <w:tcPr>
          <w:tcW w:w="3020" w:type="dxa"/>
        </w:tcPr>
        <w:p>
          <w:pPr>
            <w:pStyle w:val="15"/>
            <w:spacing w:line="360" w:lineRule="exact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3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5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5"/>
            <w:spacing w:line="360" w:lineRule="exact"/>
            <w:jc w:val="right"/>
            <w:rPr>
              <w:sz w:val="20"/>
              <w:szCs w:val="21"/>
            </w:rPr>
          </w:pPr>
        </w:p>
      </w:tc>
    </w:tr>
  </w:tbl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1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725"/>
      <w:gridCol w:w="4726"/>
      <w:gridCol w:w="472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67" w:type="pct"/>
        </w:tcPr>
        <w:p>
          <w:pPr>
            <w:pStyle w:val="15"/>
            <w:spacing w:line="360" w:lineRule="exact"/>
            <w:rPr>
              <w:sz w:val="20"/>
              <w:szCs w:val="21"/>
            </w:rPr>
          </w:pPr>
        </w:p>
      </w:tc>
      <w:tc>
        <w:tcPr>
          <w:tcW w:w="1667" w:type="pct"/>
        </w:tcPr>
        <w:p>
          <w:pPr>
            <w:pStyle w:val="15"/>
            <w:spacing w:line="360" w:lineRule="exact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5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>
          <w:pPr>
            <w:pStyle w:val="15"/>
            <w:spacing w:line="360" w:lineRule="exact"/>
            <w:jc w:val="right"/>
            <w:rPr>
              <w:sz w:val="20"/>
              <w:szCs w:val="21"/>
            </w:rPr>
          </w:pPr>
        </w:p>
      </w:tc>
    </w:tr>
  </w:tbl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1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96"/>
      <w:gridCol w:w="3096"/>
      <w:gridCol w:w="309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67" w:type="pct"/>
        </w:tcPr>
        <w:p>
          <w:pPr>
            <w:pStyle w:val="15"/>
            <w:spacing w:line="360" w:lineRule="exact"/>
            <w:rPr>
              <w:sz w:val="20"/>
              <w:szCs w:val="21"/>
            </w:rPr>
          </w:pPr>
        </w:p>
      </w:tc>
      <w:tc>
        <w:tcPr>
          <w:tcW w:w="1667" w:type="pct"/>
        </w:tcPr>
        <w:p>
          <w:pPr>
            <w:pStyle w:val="15"/>
            <w:spacing w:line="360" w:lineRule="exact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5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5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>
          <w:pPr>
            <w:pStyle w:val="15"/>
            <w:spacing w:line="360" w:lineRule="exact"/>
            <w:jc w:val="right"/>
            <w:rPr>
              <w:sz w:val="20"/>
              <w:szCs w:val="21"/>
            </w:rPr>
          </w:pPr>
        </w:p>
      </w:tc>
    </w:tr>
  </w:tbl>
  <w:p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18"/>
        <w:rPr>
          <w:rFonts w:hint="eastAsia"/>
        </w:rPr>
      </w:pPr>
      <w:r>
        <w:rPr>
          <w:rStyle w:val="24"/>
        </w:rPr>
        <w:footnoteRef/>
      </w:r>
      <w:r>
        <w:t xml:space="preserve"> </w:t>
      </w:r>
      <w:r>
        <w:rPr>
          <w:rFonts w:hint="eastAsia"/>
        </w:rPr>
        <w:t>来源：《绿色建筑评价标准》G</w:t>
      </w:r>
      <w:r>
        <w:t>B/T 50378-2019</w:t>
      </w:r>
      <w:r>
        <w:rPr>
          <w:rFonts w:hint="eastAsia"/>
        </w:rPr>
        <w:t>（2</w:t>
      </w:r>
      <w:r>
        <w:t>024</w:t>
      </w:r>
      <w:r>
        <w:rPr>
          <w:rFonts w:hint="eastAsia"/>
        </w:rPr>
        <w:t>年版）条文说明第5</w:t>
      </w:r>
      <w:r>
        <w:t>.2.10</w:t>
      </w:r>
      <w:r>
        <w:rPr>
          <w:rFonts w:hint="eastAsia"/>
        </w:rPr>
        <w:t>条。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5" name="图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通风开口与外窗</w:t>
    </w:r>
    <w:r>
      <w:t>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通风开口与外窗面积比例计算书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通风开口与外窗面积比例计算书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2566C8D"/>
    <w:multiLevelType w:val="multilevel"/>
    <w:tmpl w:val="22566C8D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attachedTemplate r:id="rId1"/>
  <w:documentProtection w:enforcement="0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701199"/>
    <w:rsid w:val="00005F63"/>
    <w:rsid w:val="000623DE"/>
    <w:rsid w:val="00062682"/>
    <w:rsid w:val="00086413"/>
    <w:rsid w:val="00127DDA"/>
    <w:rsid w:val="001915A3"/>
    <w:rsid w:val="001B2CB8"/>
    <w:rsid w:val="001E0E18"/>
    <w:rsid w:val="001F6FA8"/>
    <w:rsid w:val="00217F62"/>
    <w:rsid w:val="002616ED"/>
    <w:rsid w:val="00273CBC"/>
    <w:rsid w:val="002D041B"/>
    <w:rsid w:val="002F6145"/>
    <w:rsid w:val="0031024A"/>
    <w:rsid w:val="00372C6C"/>
    <w:rsid w:val="003E0960"/>
    <w:rsid w:val="003E1207"/>
    <w:rsid w:val="0040421F"/>
    <w:rsid w:val="00432F2C"/>
    <w:rsid w:val="00437DD9"/>
    <w:rsid w:val="00485A69"/>
    <w:rsid w:val="004C3CE7"/>
    <w:rsid w:val="004E151B"/>
    <w:rsid w:val="00527A3C"/>
    <w:rsid w:val="00564C6C"/>
    <w:rsid w:val="005C674D"/>
    <w:rsid w:val="00604146"/>
    <w:rsid w:val="00614EA0"/>
    <w:rsid w:val="006232BB"/>
    <w:rsid w:val="00625B41"/>
    <w:rsid w:val="00673B5A"/>
    <w:rsid w:val="00700B4B"/>
    <w:rsid w:val="00752A6B"/>
    <w:rsid w:val="007734BB"/>
    <w:rsid w:val="0079262C"/>
    <w:rsid w:val="008446B0"/>
    <w:rsid w:val="00847E39"/>
    <w:rsid w:val="00895956"/>
    <w:rsid w:val="008F6C04"/>
    <w:rsid w:val="009C2026"/>
    <w:rsid w:val="00A35DB4"/>
    <w:rsid w:val="00A906D8"/>
    <w:rsid w:val="00AB5A74"/>
    <w:rsid w:val="00AF0A9B"/>
    <w:rsid w:val="00B005FD"/>
    <w:rsid w:val="00B010BD"/>
    <w:rsid w:val="00B159D2"/>
    <w:rsid w:val="00C27CC2"/>
    <w:rsid w:val="00CA4588"/>
    <w:rsid w:val="00CE6596"/>
    <w:rsid w:val="00D3549C"/>
    <w:rsid w:val="00D42351"/>
    <w:rsid w:val="00D90D36"/>
    <w:rsid w:val="00DE7E25"/>
    <w:rsid w:val="00E710B2"/>
    <w:rsid w:val="00ED7995"/>
    <w:rsid w:val="00F071AE"/>
    <w:rsid w:val="00F97600"/>
    <w:rsid w:val="23701199"/>
    <w:rsid w:val="4C69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ind w:left="1145"/>
      <w:jc w:val="both"/>
      <w:outlineLvl w:val="1"/>
    </w:pPr>
    <w:rPr>
      <w:rFonts w:ascii="微软雅黑" w:hAnsi="微软雅黑" w:eastAsia="微软雅黑" w:cs="微软雅黑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7"/>
    <w:uiPriority w:val="0"/>
    <w:rPr>
      <w:szCs w:val="18"/>
    </w:rPr>
  </w:style>
  <w:style w:type="paragraph" w:styleId="15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footnote text"/>
    <w:basedOn w:val="1"/>
    <w:link w:val="37"/>
    <w:semiHidden/>
    <w:unhideWhenUsed/>
    <w:uiPriority w:val="0"/>
    <w:pPr>
      <w:snapToGrid w:val="0"/>
    </w:pPr>
    <w:rPr>
      <w:sz w:val="18"/>
      <w:szCs w:val="18"/>
    </w:rPr>
  </w:style>
  <w:style w:type="paragraph" w:styleId="19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footnote reference"/>
    <w:basedOn w:val="22"/>
    <w:semiHidden/>
    <w:unhideWhenUsed/>
    <w:uiPriority w:val="0"/>
    <w:rPr>
      <w:vertAlign w:val="superscript"/>
    </w:rPr>
  </w:style>
  <w:style w:type="paragraph" w:styleId="25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/>
      <w:kern w:val="2"/>
      <w:szCs w:val="22"/>
      <w:lang w:val="en-US"/>
    </w:rPr>
  </w:style>
  <w:style w:type="paragraph" w:customStyle="1" w:styleId="26">
    <w:name w:val="TOC 标题1"/>
    <w:basedOn w:val="2"/>
    <w:next w:val="1"/>
    <w:qFormat/>
    <w:uiPriority w:val="3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character" w:customStyle="1" w:styleId="27">
    <w:name w:val="批注框文本 字符"/>
    <w:link w:val="14"/>
    <w:qFormat/>
    <w:uiPriority w:val="0"/>
    <w:rPr>
      <w:sz w:val="18"/>
      <w:szCs w:val="18"/>
      <w:lang w:val="en-GB"/>
    </w:rPr>
  </w:style>
  <w:style w:type="character" w:styleId="28">
    <w:name w:val="Placeholder Text"/>
    <w:semiHidden/>
    <w:qFormat/>
    <w:uiPriority w:val="99"/>
    <w:rPr>
      <w:color w:val="808080"/>
    </w:rPr>
  </w:style>
  <w:style w:type="character" w:customStyle="1" w:styleId="29">
    <w:name w:val="页脚 字符"/>
    <w:link w:val="15"/>
    <w:qFormat/>
    <w:uiPriority w:val="99"/>
    <w:rPr>
      <w:sz w:val="18"/>
      <w:szCs w:val="18"/>
      <w:lang w:val="en-GB"/>
    </w:rPr>
  </w:style>
  <w:style w:type="character" w:customStyle="1" w:styleId="30">
    <w:name w:val="页眉 字符"/>
    <w:link w:val="16"/>
    <w:uiPriority w:val="0"/>
    <w:rPr>
      <w:sz w:val="18"/>
      <w:szCs w:val="18"/>
      <w:lang w:val="en-GB"/>
    </w:rPr>
  </w:style>
  <w:style w:type="character" w:customStyle="1" w:styleId="31">
    <w:name w:val="封面表格 字符"/>
    <w:basedOn w:val="22"/>
    <w:link w:val="32"/>
    <w:qFormat/>
    <w:locked/>
    <w:uiPriority w:val="0"/>
    <w:rPr>
      <w:rFonts w:ascii="微软雅黑" w:hAnsi="微软雅黑" w:eastAsia="微软雅黑" w:cs="微软雅黑"/>
      <w:sz w:val="24"/>
      <w:szCs w:val="24"/>
      <w:lang w:val="en-GB"/>
    </w:rPr>
  </w:style>
  <w:style w:type="paragraph" w:customStyle="1" w:styleId="32">
    <w:name w:val="封面表格"/>
    <w:basedOn w:val="1"/>
    <w:link w:val="31"/>
    <w:qFormat/>
    <w:uiPriority w:val="0"/>
    <w:rPr>
      <w:sz w:val="24"/>
      <w:szCs w:val="24"/>
    </w:rPr>
  </w:style>
  <w:style w:type="character" w:customStyle="1" w:styleId="33">
    <w:name w:val="封面页尾 字符"/>
    <w:basedOn w:val="22"/>
    <w:link w:val="34"/>
    <w:locked/>
    <w:uiPriority w:val="0"/>
    <w:rPr>
      <w:rFonts w:ascii="微软雅黑" w:hAnsi="微软雅黑" w:eastAsia="微软雅黑" w:cs="微软雅黑"/>
      <w:sz w:val="18"/>
      <w:lang w:val="en-GB"/>
    </w:rPr>
  </w:style>
  <w:style w:type="paragraph" w:customStyle="1" w:styleId="34">
    <w:name w:val="封面页尾"/>
    <w:basedOn w:val="1"/>
    <w:link w:val="33"/>
    <w:qFormat/>
    <w:uiPriority w:val="0"/>
    <w:pPr>
      <w:spacing w:line="240" w:lineRule="exact"/>
    </w:pPr>
    <w:rPr>
      <w:sz w:val="18"/>
      <w:szCs w:val="20"/>
    </w:rPr>
  </w:style>
  <w:style w:type="character" w:customStyle="1" w:styleId="35">
    <w:name w:val="封面信息 字符"/>
    <w:basedOn w:val="31"/>
    <w:link w:val="36"/>
    <w:qFormat/>
    <w:locked/>
    <w:uiPriority w:val="0"/>
    <w:rPr>
      <w:rFonts w:ascii="微软雅黑" w:hAnsi="微软雅黑" w:eastAsia="微软雅黑" w:cs="微软雅黑"/>
      <w:sz w:val="32"/>
      <w:szCs w:val="32"/>
      <w:lang w:val="en-GB"/>
    </w:rPr>
  </w:style>
  <w:style w:type="paragraph" w:customStyle="1" w:styleId="36">
    <w:name w:val="封面信息"/>
    <w:basedOn w:val="32"/>
    <w:link w:val="35"/>
    <w:qFormat/>
    <w:uiPriority w:val="0"/>
    <w:pPr>
      <w:jc w:val="center"/>
    </w:pPr>
    <w:rPr>
      <w:sz w:val="32"/>
      <w:szCs w:val="32"/>
    </w:rPr>
  </w:style>
  <w:style w:type="character" w:customStyle="1" w:styleId="37">
    <w:name w:val="脚注文本 字符"/>
    <w:basedOn w:val="22"/>
    <w:link w:val="18"/>
    <w:semiHidden/>
    <w:uiPriority w:val="0"/>
    <w:rPr>
      <w:rFonts w:ascii="微软雅黑" w:hAnsi="微软雅黑" w:eastAsia="微软雅黑" w:cs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3.xml"/><Relationship Id="rId7" Type="http://schemas.openxmlformats.org/officeDocument/2006/relationships/footer" Target="footer2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customXml" Target="../customXml/item2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17.wmf"/><Relationship Id="rId25" Type="http://schemas.openxmlformats.org/officeDocument/2006/relationships/image" Target="media/image16.wmf"/><Relationship Id="rId24" Type="http://schemas.openxmlformats.org/officeDocument/2006/relationships/image" Target="media/image15.wmf"/><Relationship Id="rId23" Type="http://schemas.openxmlformats.org/officeDocument/2006/relationships/image" Target="media/image14.wmf"/><Relationship Id="rId22" Type="http://schemas.openxmlformats.org/officeDocument/2006/relationships/image" Target="media/image13.wmf"/><Relationship Id="rId21" Type="http://schemas.openxmlformats.org/officeDocument/2006/relationships/image" Target="media/image12.wmf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image" Target="media/image9.wmf"/><Relationship Id="rId17" Type="http://schemas.openxmlformats.org/officeDocument/2006/relationships/image" Target="media/image8.wmf"/><Relationship Id="rId16" Type="http://schemas.openxmlformats.org/officeDocument/2006/relationships/image" Target="media/image7.wmf"/><Relationship Id="rId15" Type="http://schemas.openxmlformats.org/officeDocument/2006/relationships/image" Target="media/image6.wmf"/><Relationship Id="rId14" Type="http://schemas.openxmlformats.org/officeDocument/2006/relationships/image" Target="media/image5.wmf"/><Relationship Id="rId13" Type="http://schemas.openxmlformats.org/officeDocument/2006/relationships/image" Target="media/image4.wmf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wf57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9FBBEC-4F6F-4E5C-8589-99FC28B332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11</Pages>
  <Words>1984</Words>
  <Characters>3148</Characters>
  <Lines>5</Lines>
  <Paragraphs>1</Paragraphs>
  <TotalTime>98</TotalTime>
  <ScaleCrop>false</ScaleCrop>
  <LinksUpToDate>false</LinksUpToDate>
  <CharactersWithSpaces>3177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2026-03-15T10:36:00Z</dcterms:created>
  <dc:creator>半江芦苇</dc:creator>
  <cp:lastModifiedBy>半江芦苇</cp:lastModifiedBy>
  <dcterms:modified xsi:type="dcterms:W3CDTF">2026-03-15T10:37:30Z</dcterms:modified>
  <dc:title>建筑开口与外窗面积比例计算书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  <property fmtid="{D5CDD505-2E9C-101B-9397-08002B2CF9AE}" pid="4" name="KSOProductBuildVer">
    <vt:lpwstr>2052-11.1.0.10009</vt:lpwstr>
  </property>
  <property fmtid="{D5CDD505-2E9C-101B-9397-08002B2CF9AE}" pid="5" name="ICV">
    <vt:lpwstr>4D49115990334709A2D2C9EBAD71BE05_12</vt:lpwstr>
  </property>
</Properties>
</file>