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安全防护措施专项报告</w:t>
      </w:r>
    </w:p>
    <w:p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一、工程概况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 w:leftChars="0" w:firstLine="0" w:firstLineChars="0"/>
        <w:jc w:val="left"/>
      </w:pPr>
      <w:r>
        <w:rPr>
          <w:rFonts w:ascii="Arial" w:hAnsi="Arial" w:eastAsia="等线" w:cs="Arial"/>
          <w:sz w:val="22"/>
        </w:rPr>
        <w:t>工程名称</w:t>
      </w:r>
      <w:r>
        <w:rPr>
          <w:rFonts w:hint="eastAsia" w:ascii="Arial" w:hAnsi="Arial" w:eastAsia="等线" w:cs="Arial"/>
          <w:sz w:val="22"/>
          <w:lang w:eastAsia="zh-CN"/>
        </w:rPr>
        <w:t>：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筑绿未来  </w:t>
      </w:r>
      <w:r>
        <w:rPr>
          <w:rFonts w:ascii="Arial" w:hAnsi="Arial" w:eastAsia="等线" w:cs="Arial"/>
          <w:sz w:val="22"/>
        </w:rPr>
        <w:t>建设地点</w:t>
      </w:r>
      <w:r>
        <w:rPr>
          <w:rFonts w:hint="eastAsia" w:ascii="Arial" w:hAnsi="Arial" w:eastAsia="等线" w:cs="Arial"/>
          <w:sz w:val="22"/>
          <w:lang w:eastAsia="zh-CN"/>
        </w:rPr>
        <w:t>：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福州长乐区  </w:t>
      </w:r>
      <w:r>
        <w:rPr>
          <w:rFonts w:ascii="Arial" w:hAnsi="Arial" w:eastAsia="等线" w:cs="Arial"/>
          <w:sz w:val="22"/>
        </w:rPr>
        <w:t>建设单位</w:t>
      </w:r>
      <w:r>
        <w:rPr>
          <w:rFonts w:hint="eastAsia" w:ascii="Arial" w:hAnsi="Arial" w:eastAsia="等线" w:cs="Arial"/>
          <w:sz w:val="22"/>
          <w:lang w:eastAsia="zh-CN"/>
        </w:rPr>
        <w:t>：xxxx工程建设有限公司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  </w:t>
      </w:r>
      <w:r>
        <w:rPr>
          <w:rFonts w:ascii="Arial" w:hAnsi="Arial" w:eastAsia="等线" w:cs="Arial"/>
          <w:sz w:val="22"/>
        </w:rPr>
        <w:t>监理单位</w:t>
      </w:r>
      <w:r>
        <w:rPr>
          <w:rFonts w:hint="eastAsia" w:ascii="Arial" w:hAnsi="Arial" w:eastAsia="等线" w:cs="Arial"/>
          <w:sz w:val="22"/>
          <w:lang w:eastAsia="zh-CN"/>
        </w:rPr>
        <w:t>：</w:t>
      </w:r>
      <w:r>
        <w:rPr>
          <w:rFonts w:hint="eastAsia" w:ascii="Arial" w:hAnsi="Arial" w:eastAsia="等线" w:cs="Arial"/>
          <w:sz w:val="22"/>
          <w:lang w:val="en-US" w:eastAsia="zh-CN"/>
        </w:rPr>
        <w:t>xxxx</w:t>
      </w:r>
      <w:r>
        <w:rPr>
          <w:rFonts w:ascii="Arial" w:hAnsi="Arial" w:eastAsia="等线" w:cs="Arial"/>
          <w:sz w:val="22"/>
        </w:rPr>
        <w:t>监理单位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                  </w:t>
      </w:r>
      <w:r>
        <w:rPr>
          <w:rFonts w:ascii="Arial" w:hAnsi="Arial" w:eastAsia="等线" w:cs="Arial"/>
          <w:sz w:val="22"/>
        </w:rPr>
        <w:t>施工单位</w:t>
      </w:r>
      <w:r>
        <w:rPr>
          <w:rFonts w:hint="eastAsia" w:ascii="Arial" w:hAnsi="Arial" w:eastAsia="等线" w:cs="Arial"/>
          <w:sz w:val="22"/>
          <w:lang w:eastAsia="zh-CN"/>
        </w:rPr>
        <w:t>：xxxx施工单位</w:t>
      </w:r>
    </w:p>
    <w:p>
      <w:pPr>
        <w:numPr>
          <w:ilvl w:val="0"/>
          <w:numId w:val="1"/>
        </w:numPr>
        <w:spacing w:before="120" w:after="120" w:line="288" w:lineRule="auto"/>
        <w:ind w:left="0" w:leftChars="0" w:firstLine="0" w:firstLineChars="0"/>
        <w:jc w:val="left"/>
      </w:pPr>
      <w:r>
        <w:rPr>
          <w:rFonts w:ascii="Arial" w:hAnsi="Arial" w:eastAsia="等线" w:cs="Arial"/>
          <w:sz w:val="22"/>
        </w:rPr>
        <w:t>建筑规模：建筑面积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:2403.21 ㎡  </w:t>
      </w:r>
      <w:r>
        <w:rPr>
          <w:rFonts w:ascii="Arial" w:hAnsi="Arial" w:eastAsia="等线" w:cs="Arial"/>
          <w:sz w:val="22"/>
        </w:rPr>
        <w:t>结构类型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:框架结构   </w:t>
      </w:r>
      <w:r>
        <w:rPr>
          <w:rFonts w:ascii="Arial" w:hAnsi="Arial" w:eastAsia="等线" w:cs="Arial"/>
          <w:sz w:val="22"/>
        </w:rPr>
        <w:t>层数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:7  </w:t>
      </w:r>
      <w:r>
        <w:rPr>
          <w:rFonts w:ascii="Arial" w:hAnsi="Arial" w:eastAsia="等线" w:cs="Arial"/>
          <w:sz w:val="22"/>
        </w:rPr>
        <w:t>高度</w:t>
      </w:r>
      <w:r>
        <w:rPr>
          <w:rFonts w:hint="eastAsia" w:ascii="Arial" w:hAnsi="Arial" w:eastAsia="等线" w:cs="Arial"/>
          <w:sz w:val="22"/>
          <w:lang w:val="en-US" w:eastAsia="zh-CN"/>
        </w:rPr>
        <w:t>:27.00m</w:t>
      </w:r>
    </w:p>
    <w:p>
      <w:pPr>
        <w:numPr>
          <w:ilvl w:val="0"/>
          <w:numId w:val="1"/>
        </w:numPr>
        <w:spacing w:before="120" w:after="120" w:line="288" w:lineRule="auto"/>
        <w:ind w:left="0" w:leftChars="0" w:firstLine="0" w:firstLineChars="0"/>
        <w:jc w:val="left"/>
      </w:pPr>
      <w:r>
        <w:rPr>
          <w:rFonts w:ascii="Arial" w:hAnsi="Arial" w:eastAsia="等线" w:cs="Arial"/>
          <w:sz w:val="22"/>
        </w:rPr>
        <w:t>施工工期、计划开竣工日期</w:t>
      </w:r>
    </w:p>
    <w:p>
      <w:pPr>
        <w:numPr>
          <w:ilvl w:val="0"/>
          <w:numId w:val="1"/>
        </w:numPr>
        <w:spacing w:before="120" w:after="120" w:line="288" w:lineRule="auto"/>
        <w:ind w:left="0" w:leftChars="0" w:firstLine="0" w:firstLineChars="0"/>
        <w:jc w:val="left"/>
      </w:pPr>
      <w:r>
        <w:rPr>
          <w:rFonts w:ascii="Arial" w:hAnsi="Arial" w:eastAsia="等线" w:cs="Arial"/>
          <w:sz w:val="22"/>
        </w:rPr>
        <w:t>工程特点与主要危险源：深基坑、高支模、起重吊装、高处作业、临时用电、动火作业等</w:t>
      </w:r>
    </w:p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二、编制依据</w:t>
      </w:r>
      <w:bookmarkEnd w:id="1"/>
    </w:p>
    <w:p>
      <w:pPr>
        <w:numPr>
          <w:ilvl w:val="0"/>
          <w:numId w:val="2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《中华人民共和国安全生产法》</w:t>
      </w:r>
    </w:p>
    <w:p>
      <w:pPr>
        <w:numPr>
          <w:ilvl w:val="0"/>
          <w:numId w:val="2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《建设工程安全生产管理条例》</w:t>
      </w:r>
    </w:p>
    <w:p>
      <w:pPr>
        <w:numPr>
          <w:ilvl w:val="0"/>
          <w:numId w:val="2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《建筑施工安全检查标准》JGJ59</w:t>
      </w:r>
    </w:p>
    <w:p>
      <w:pPr>
        <w:numPr>
          <w:ilvl w:val="0"/>
          <w:numId w:val="2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《建筑施工高处作业安全技术规范》JGJ80</w:t>
      </w:r>
    </w:p>
    <w:p>
      <w:pPr>
        <w:numPr>
          <w:ilvl w:val="0"/>
          <w:numId w:val="2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《施工现场临时用电安全技术规范》JGJ46</w:t>
      </w:r>
    </w:p>
    <w:p>
      <w:pPr>
        <w:numPr>
          <w:ilvl w:val="0"/>
          <w:numId w:val="2"/>
        </w:numPr>
        <w:spacing w:before="120" w:after="120" w:line="288" w:lineRule="auto"/>
        <w:ind w:left="0" w:leftChars="0" w:firstLine="0" w:firstLineChars="0"/>
        <w:jc w:val="left"/>
      </w:pPr>
      <w:r>
        <w:rPr>
          <w:rFonts w:ascii="Arial" w:hAnsi="Arial" w:eastAsia="等线" w:cs="Arial"/>
          <w:sz w:val="22"/>
        </w:rPr>
        <w:t>施工组织设计、专</w:t>
      </w:r>
      <w:r>
        <w:rPr>
          <w:rFonts w:ascii="Arial" w:hAnsi="Arial" w:eastAsia="等线" w:cs="Arial"/>
          <w:sz w:val="22"/>
        </w:rPr>
        <w:t>项施工方案、图纸及地质勘察资料</w:t>
      </w:r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三、安全生产管理目标</w:t>
      </w:r>
      <w:bookmarkEnd w:id="2"/>
    </w:p>
    <w:p>
      <w:pPr>
        <w:numPr>
          <w:ilvl w:val="0"/>
          <w:numId w:val="3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杜绝死亡、重伤事故，轻伤事故控制在目标以内</w:t>
      </w:r>
    </w:p>
    <w:p>
      <w:pPr>
        <w:numPr>
          <w:ilvl w:val="0"/>
          <w:numId w:val="3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杜绝火灾、坍塌、触电、机械伤害等重大安全事故</w:t>
      </w:r>
    </w:p>
    <w:p>
      <w:pPr>
        <w:numPr>
          <w:ilvl w:val="0"/>
          <w:numId w:val="3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达到安全文明标准化工地要求</w:t>
      </w:r>
    </w:p>
    <w:p>
      <w:pPr>
        <w:numPr>
          <w:ilvl w:val="0"/>
          <w:numId w:val="3"/>
        </w:numPr>
        <w:spacing w:before="120" w:after="120" w:line="288" w:lineRule="auto"/>
        <w:ind w:left="0" w:leftChars="0" w:firstLine="0" w:firstLineChars="0"/>
        <w:jc w:val="left"/>
      </w:pPr>
      <w:r>
        <w:rPr>
          <w:rFonts w:ascii="Arial" w:hAnsi="Arial" w:eastAsia="等线" w:cs="Arial"/>
          <w:sz w:val="22"/>
        </w:rPr>
        <w:t>隐患整改</w:t>
      </w:r>
      <w:r>
        <w:rPr>
          <w:rFonts w:ascii="Arial" w:hAnsi="Arial" w:eastAsia="等线" w:cs="Arial"/>
          <w:sz w:val="22"/>
        </w:rPr>
        <w:t>率100%，安全教育培训覆盖率100%</w:t>
      </w:r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四、安全生产管理体系</w:t>
      </w:r>
      <w:bookmarkEnd w:id="3"/>
    </w:p>
    <w:p>
      <w:pPr>
        <w:numPr>
          <w:ilvl w:val="0"/>
          <w:numId w:val="4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安全生产领导小组及组织机构</w:t>
      </w:r>
    </w:p>
    <w:p>
      <w:pPr>
        <w:numPr>
          <w:ilvl w:val="0"/>
          <w:numId w:val="4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项目经理、安全员、班组长安全职责</w:t>
      </w:r>
    </w:p>
    <w:p>
      <w:pPr>
        <w:numPr>
          <w:ilvl w:val="0"/>
          <w:numId w:val="4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安全生产责任制度、检查制度、教育培训制度、交底制度</w:t>
      </w:r>
    </w:p>
    <w:p>
      <w:pPr>
        <w:numPr>
          <w:ilvl w:val="0"/>
          <w:numId w:val="4"/>
        </w:numPr>
        <w:spacing w:before="120" w:after="120" w:line="288" w:lineRule="auto"/>
        <w:ind w:left="0" w:leftChars="0" w:firstLine="0" w:firstLineChars="0"/>
        <w:jc w:val="left"/>
      </w:pPr>
      <w:r>
        <w:rPr>
          <w:rFonts w:ascii="Arial" w:hAnsi="Arial" w:eastAsia="等线" w:cs="Arial"/>
          <w:sz w:val="22"/>
        </w:rPr>
        <w:t>特种作业人员持证</w:t>
      </w:r>
      <w:r>
        <w:rPr>
          <w:rFonts w:ascii="Arial" w:hAnsi="Arial" w:eastAsia="等线" w:cs="Arial"/>
          <w:sz w:val="22"/>
        </w:rPr>
        <w:t>上岗管理</w:t>
      </w:r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五、主要危险源辨识与分析</w:t>
      </w:r>
      <w:bookmarkEnd w:id="4"/>
    </w:p>
    <w:p>
      <w:pPr>
        <w:numPr>
          <w:ilvl w:val="0"/>
          <w:numId w:val="5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高处坠落：临边、洞口、脚手架、操作平台</w:t>
      </w:r>
    </w:p>
    <w:p>
      <w:pPr>
        <w:numPr>
          <w:ilvl w:val="0"/>
          <w:numId w:val="5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物体打击：交叉作业、物料堆放、工具坠落</w:t>
      </w:r>
    </w:p>
    <w:p>
      <w:pPr>
        <w:numPr>
          <w:ilvl w:val="0"/>
          <w:numId w:val="5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坍塌事故：基坑边坡、模板支撑、脚手架</w:t>
      </w:r>
    </w:p>
    <w:p>
      <w:pPr>
        <w:numPr>
          <w:ilvl w:val="0"/>
          <w:numId w:val="5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触电伤害：临时用电、设备漏电、违规接线</w:t>
      </w:r>
    </w:p>
    <w:p>
      <w:pPr>
        <w:numPr>
          <w:ilvl w:val="0"/>
          <w:numId w:val="5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机械伤害：塔吊、施工电梯、钢筋机械、木工机械</w:t>
      </w:r>
    </w:p>
    <w:p>
      <w:pPr>
        <w:numPr>
          <w:ilvl w:val="0"/>
          <w:numId w:val="5"/>
        </w:numPr>
        <w:spacing w:before="120" w:after="120" w:line="288" w:lineRule="auto"/>
        <w:ind w:left="0" w:leftChars="0" w:firstLine="0" w:firstLineChars="0"/>
        <w:jc w:val="left"/>
      </w:pPr>
      <w:r>
        <w:rPr>
          <w:rFonts w:ascii="Arial" w:hAnsi="Arial" w:eastAsia="等线" w:cs="Arial"/>
          <w:sz w:val="22"/>
        </w:rPr>
        <w:t>火灾爆炸：动火作业、易燃材料、</w:t>
      </w:r>
      <w:r>
        <w:rPr>
          <w:rFonts w:ascii="Arial" w:hAnsi="Arial" w:eastAsia="等线" w:cs="Arial"/>
          <w:sz w:val="22"/>
        </w:rPr>
        <w:t>电气线路</w:t>
      </w:r>
    </w:p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六、分部分项安全防护措施</w:t>
      </w:r>
      <w:bookmarkEnd w:id="5"/>
    </w:p>
    <w:p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（一）高处作业安全防护</w:t>
      </w:r>
      <w:bookmarkEnd w:id="6"/>
    </w:p>
    <w:p>
      <w:pPr>
        <w:numPr>
          <w:ilvl w:val="0"/>
          <w:numId w:val="6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临边、洞口设置防护栏杆、安全网、盖板</w:t>
      </w:r>
    </w:p>
    <w:p>
      <w:pPr>
        <w:numPr>
          <w:ilvl w:val="0"/>
          <w:numId w:val="6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高处作业人员正确佩戴安全带、安全帽</w:t>
      </w:r>
    </w:p>
    <w:p>
      <w:pPr>
        <w:numPr>
          <w:ilvl w:val="0"/>
          <w:numId w:val="6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严禁抛物，统一设置物料转运通道</w:t>
      </w:r>
    </w:p>
    <w:p>
      <w:pPr>
        <w:numPr>
          <w:ilvl w:val="0"/>
          <w:numId w:val="6"/>
        </w:numPr>
        <w:spacing w:before="120" w:after="120" w:line="288" w:lineRule="auto"/>
        <w:ind w:left="0" w:leftChars="0" w:firstLine="0" w:firstLineChars="0"/>
        <w:jc w:val="left"/>
      </w:pPr>
      <w:r>
        <w:rPr>
          <w:rFonts w:ascii="Arial" w:hAnsi="Arial" w:eastAsia="等线" w:cs="Arial"/>
          <w:sz w:val="22"/>
        </w:rPr>
        <w:t>雨雪、大风</w:t>
      </w:r>
      <w:r>
        <w:rPr>
          <w:rFonts w:ascii="Arial" w:hAnsi="Arial" w:eastAsia="等线" w:cs="Arial"/>
          <w:sz w:val="22"/>
        </w:rPr>
        <w:t>天气停止高处作业</w:t>
      </w:r>
    </w:p>
    <w:p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（二）脚手架安全防护</w:t>
      </w:r>
      <w:bookmarkEnd w:id="7"/>
    </w:p>
    <w:p>
      <w:pPr>
        <w:numPr>
          <w:ilvl w:val="0"/>
          <w:numId w:val="7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搭设、验收、使用、拆除流程管理</w:t>
      </w:r>
    </w:p>
    <w:p>
      <w:pPr>
        <w:numPr>
          <w:ilvl w:val="0"/>
          <w:numId w:val="7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立杆、横杆、剪刀撑、连墙件设置要求</w:t>
      </w:r>
    </w:p>
    <w:p>
      <w:pPr>
        <w:numPr>
          <w:ilvl w:val="0"/>
          <w:numId w:val="7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脚手板满铺、密目安全网封闭</w:t>
      </w:r>
    </w:p>
    <w:p>
      <w:pPr>
        <w:numPr>
          <w:ilvl w:val="0"/>
          <w:numId w:val="7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严禁超载、违章拆除杆件</w:t>
      </w:r>
    </w:p>
    <w:p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（三）模板支撑及高支模</w:t>
      </w:r>
      <w:bookmarkEnd w:id="8"/>
    </w:p>
    <w:p>
      <w:pPr>
        <w:numPr>
          <w:ilvl w:val="0"/>
          <w:numId w:val="8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严格按专项方案搭设，验收合格后方可使用</w:t>
      </w:r>
    </w:p>
    <w:p>
      <w:pPr>
        <w:numPr>
          <w:ilvl w:val="0"/>
          <w:numId w:val="8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立杆间距、水平杆、扫地杆、剪刀撑布置</w:t>
      </w:r>
    </w:p>
    <w:p>
      <w:pPr>
        <w:numPr>
          <w:ilvl w:val="0"/>
          <w:numId w:val="8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混凝土浇筑顺序与监测措施</w:t>
      </w:r>
    </w:p>
    <w:p>
      <w:pPr>
        <w:numPr>
          <w:ilvl w:val="0"/>
          <w:numId w:val="8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拆模审批制度，严禁提前拆模</w:t>
      </w:r>
    </w:p>
    <w:p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（四）基坑工程安全防护</w:t>
      </w:r>
      <w:bookmarkEnd w:id="9"/>
    </w:p>
    <w:p>
      <w:pPr>
        <w:numPr>
          <w:ilvl w:val="0"/>
          <w:numId w:val="9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边坡支护、降排水措施</w:t>
      </w:r>
    </w:p>
    <w:p>
      <w:pPr>
        <w:numPr>
          <w:ilvl w:val="0"/>
          <w:numId w:val="9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坑边荷载限制、临边防护</w:t>
      </w:r>
    </w:p>
    <w:p>
      <w:pPr>
        <w:numPr>
          <w:ilvl w:val="0"/>
          <w:numId w:val="9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监测预警：位移、沉降、裂缝观测</w:t>
      </w:r>
    </w:p>
    <w:p>
      <w:pPr>
        <w:numPr>
          <w:ilvl w:val="0"/>
          <w:numId w:val="9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上下通道设置，防坍塌、防淹溺</w:t>
      </w:r>
    </w:p>
    <w:p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（五）临时用电安全</w:t>
      </w:r>
      <w:bookmarkEnd w:id="10"/>
    </w:p>
    <w:p>
      <w:pPr>
        <w:numPr>
          <w:ilvl w:val="0"/>
          <w:numId w:val="10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采用“三级配电、两级保护”，TN‑S接零保护系统</w:t>
      </w:r>
    </w:p>
    <w:p>
      <w:pPr>
        <w:numPr>
          <w:ilvl w:val="0"/>
          <w:numId w:val="10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一机、一闸、一漏、一箱</w:t>
      </w:r>
    </w:p>
    <w:p>
      <w:pPr>
        <w:numPr>
          <w:ilvl w:val="0"/>
          <w:numId w:val="10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电线架空或埋地，严禁拖地、破损</w:t>
      </w:r>
    </w:p>
    <w:p>
      <w:pPr>
        <w:numPr>
          <w:ilvl w:val="0"/>
          <w:numId w:val="10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电工持证作业，定期检查维修</w:t>
      </w:r>
    </w:p>
    <w:p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（六）起重机械安全</w:t>
      </w:r>
      <w:bookmarkEnd w:id="11"/>
    </w:p>
    <w:p>
      <w:pPr>
        <w:numPr>
          <w:ilvl w:val="0"/>
          <w:numId w:val="11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塔吊、施工电梯安装验收、备案、检测</w:t>
      </w:r>
    </w:p>
    <w:p>
      <w:pPr>
        <w:numPr>
          <w:ilvl w:val="0"/>
          <w:numId w:val="11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限位、保险、吊钩、钢丝绳检查</w:t>
      </w:r>
    </w:p>
    <w:p>
      <w:pPr>
        <w:numPr>
          <w:ilvl w:val="0"/>
          <w:numId w:val="11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指挥持证、信号统一、严禁超载</w:t>
      </w:r>
    </w:p>
    <w:p>
      <w:pPr>
        <w:numPr>
          <w:ilvl w:val="0"/>
          <w:numId w:val="11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定期维保、交接班记录</w:t>
      </w:r>
    </w:p>
    <w:p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（七）消防安全管理</w:t>
      </w:r>
      <w:bookmarkEnd w:id="12"/>
    </w:p>
    <w:p>
      <w:pPr>
        <w:numPr>
          <w:ilvl w:val="0"/>
          <w:numId w:val="12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动火审批制度，专人监护、灭火器材配备</w:t>
      </w:r>
    </w:p>
    <w:p>
      <w:pPr>
        <w:numPr>
          <w:ilvl w:val="0"/>
          <w:numId w:val="12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易燃材料专库存放、通风防火</w:t>
      </w:r>
    </w:p>
    <w:p>
      <w:pPr>
        <w:numPr>
          <w:ilvl w:val="0"/>
          <w:numId w:val="12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宿舍、办公区严禁违规用电、明火</w:t>
      </w:r>
    </w:p>
    <w:p>
      <w:pPr>
        <w:numPr>
          <w:ilvl w:val="0"/>
          <w:numId w:val="12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消防通道畅通、应急照明完好</w:t>
      </w:r>
    </w:p>
    <w:p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（八）施工现场文明与防护</w:t>
      </w:r>
      <w:bookmarkEnd w:id="13"/>
    </w:p>
    <w:p>
      <w:pPr>
        <w:numPr>
          <w:ilvl w:val="0"/>
          <w:numId w:val="13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施工现场围挡、道路硬化、扬尘控制</w:t>
      </w:r>
    </w:p>
    <w:p>
      <w:pPr>
        <w:numPr>
          <w:ilvl w:val="0"/>
          <w:numId w:val="13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材料分区堆放、标识清晰</w:t>
      </w:r>
    </w:p>
    <w:p>
      <w:pPr>
        <w:numPr>
          <w:ilvl w:val="0"/>
          <w:numId w:val="13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安全标志、警示标语、宣传栏布置</w:t>
      </w:r>
    </w:p>
    <w:p>
      <w:pPr>
        <w:numPr>
          <w:ilvl w:val="0"/>
          <w:numId w:val="13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宿舍、食堂、厕所卫生防疫管理</w:t>
      </w:r>
    </w:p>
    <w:p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七、安全技术交底与教育培训</w:t>
      </w:r>
      <w:bookmarkEnd w:id="14"/>
    </w:p>
    <w:p>
      <w:pPr>
        <w:numPr>
          <w:ilvl w:val="0"/>
          <w:numId w:val="14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三级安全教育：公司、项目、班组</w:t>
      </w:r>
    </w:p>
    <w:p>
      <w:pPr>
        <w:numPr>
          <w:ilvl w:val="0"/>
          <w:numId w:val="14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分部分项工程安全技术交底</w:t>
      </w:r>
    </w:p>
    <w:p>
      <w:pPr>
        <w:numPr>
          <w:ilvl w:val="0"/>
          <w:numId w:val="14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班前安全活动、周安全例会</w:t>
      </w:r>
    </w:p>
    <w:p>
      <w:pPr>
        <w:numPr>
          <w:ilvl w:val="0"/>
          <w:numId w:val="14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新工艺、新设备、新材料专项培训</w:t>
      </w:r>
    </w:p>
    <w:p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八、安全检查与隐患整改</w:t>
      </w:r>
      <w:bookmarkEnd w:id="15"/>
    </w:p>
    <w:p>
      <w:pPr>
        <w:numPr>
          <w:ilvl w:val="0"/>
          <w:numId w:val="15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日常巡查、专项检查、综合检查</w:t>
      </w:r>
    </w:p>
    <w:p>
      <w:pPr>
        <w:numPr>
          <w:ilvl w:val="0"/>
          <w:numId w:val="15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隐患登记、整改、复查、销号闭环管理</w:t>
      </w:r>
    </w:p>
    <w:p>
      <w:pPr>
        <w:numPr>
          <w:ilvl w:val="0"/>
          <w:numId w:val="15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对违规作业、违章指挥严肃处理</w:t>
      </w:r>
    </w:p>
    <w:p>
      <w:pPr>
        <w:numPr>
          <w:ilvl w:val="0"/>
          <w:numId w:val="15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检查记录及影像资料归档</w:t>
      </w:r>
    </w:p>
    <w:p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九、应急管理与救援</w:t>
      </w:r>
      <w:bookmarkEnd w:id="16"/>
    </w:p>
    <w:p>
      <w:pPr>
        <w:numPr>
          <w:ilvl w:val="0"/>
          <w:numId w:val="16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应急组织机构及联系方式</w:t>
      </w:r>
    </w:p>
    <w:p>
      <w:pPr>
        <w:numPr>
          <w:ilvl w:val="0"/>
          <w:numId w:val="16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应急预案：高处坠落、坍塌、触电、火灾、中暑等</w:t>
      </w:r>
    </w:p>
    <w:p>
      <w:pPr>
        <w:numPr>
          <w:ilvl w:val="0"/>
          <w:numId w:val="16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应急物资：担架、急救箱、灭火器、照明、对讲机</w:t>
      </w:r>
    </w:p>
    <w:p>
      <w:pPr>
        <w:numPr>
          <w:ilvl w:val="0"/>
          <w:numId w:val="16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应急演练计划与记录</w:t>
      </w:r>
    </w:p>
    <w:p>
      <w:pPr>
        <w:numPr>
          <w:ilvl w:val="0"/>
          <w:numId w:val="16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事故上报流程与处置措施</w:t>
      </w:r>
    </w:p>
    <w:p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十、文明施工与环境保护</w:t>
      </w:r>
      <w:bookmarkEnd w:id="17"/>
    </w:p>
    <w:p>
      <w:pPr>
        <w:numPr>
          <w:ilvl w:val="0"/>
          <w:numId w:val="17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扬尘、噪声、污水、建筑垃圾控制</w:t>
      </w:r>
    </w:p>
    <w:p>
      <w:pPr>
        <w:numPr>
          <w:ilvl w:val="0"/>
          <w:numId w:val="17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现场围挡、保洁、洒水降尘</w:t>
      </w:r>
    </w:p>
    <w:p>
      <w:pPr>
        <w:numPr>
          <w:ilvl w:val="0"/>
          <w:numId w:val="17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垃圾分类清运，避免污染环境</w:t>
      </w:r>
    </w:p>
    <w:p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十一、安全管理资料与归档</w:t>
      </w:r>
      <w:bookmarkEnd w:id="18"/>
    </w:p>
    <w:p>
      <w:pPr>
        <w:numPr>
          <w:ilvl w:val="0"/>
          <w:numId w:val="18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bookmarkStart w:id="20" w:name="_GoBack"/>
      <w:bookmarkEnd w:id="20"/>
      <w:r>
        <w:rPr>
          <w:rFonts w:ascii="Arial" w:hAnsi="Arial" w:eastAsia="等线" w:cs="Arial"/>
          <w:sz w:val="22"/>
        </w:rPr>
        <w:t>责任制、管理制度、操作规程</w:t>
      </w:r>
    </w:p>
    <w:p>
      <w:pPr>
        <w:numPr>
          <w:ilvl w:val="0"/>
          <w:numId w:val="18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方案、交底、验收、检查、整改记录</w:t>
      </w:r>
    </w:p>
    <w:p>
      <w:pPr>
        <w:numPr>
          <w:ilvl w:val="0"/>
          <w:numId w:val="18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安全教育、特种作业、应急演练资料</w:t>
      </w:r>
    </w:p>
    <w:p>
      <w:pPr>
        <w:numPr>
          <w:ilvl w:val="0"/>
          <w:numId w:val="18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台账规范化、可追溯</w:t>
      </w:r>
    </w:p>
    <w:p>
      <w:pPr>
        <w:spacing w:before="320" w:after="120" w:line="288" w:lineRule="auto"/>
        <w:ind w:left="0"/>
        <w:jc w:val="left"/>
        <w:outlineLvl w:val="1"/>
      </w:pPr>
      <w:bookmarkStart w:id="19" w:name="heading_19"/>
      <w:r>
        <w:rPr>
          <w:rFonts w:ascii="Arial" w:hAnsi="Arial" w:eastAsia="等线" w:cs="Arial"/>
          <w:b/>
          <w:sz w:val="32"/>
        </w:rPr>
        <w:t>十二、结论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已建立完善的安全生产管理体系，针对主要危险源制定了可靠的安全防护措施，落实人员、制度、设备、应急等各项保障工作，施工现场安全防护符合国家及行业规范要求，能够有效预防和控制安全事故，保障施工人员安全与工程顺利进行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B61224"/>
    <w:multiLevelType w:val="singleLevel"/>
    <w:tmpl w:val="82B61224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8EC55663"/>
    <w:multiLevelType w:val="singleLevel"/>
    <w:tmpl w:val="8EC55663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2">
    <w:nsid w:val="9BAD0038"/>
    <w:multiLevelType w:val="singleLevel"/>
    <w:tmpl w:val="9BAD0038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3">
    <w:nsid w:val="9D1B6CED"/>
    <w:multiLevelType w:val="singleLevel"/>
    <w:tmpl w:val="9D1B6CED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4">
    <w:nsid w:val="A2A9A5F1"/>
    <w:multiLevelType w:val="singleLevel"/>
    <w:tmpl w:val="A2A9A5F1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5">
    <w:nsid w:val="AE50458B"/>
    <w:multiLevelType w:val="singleLevel"/>
    <w:tmpl w:val="AE50458B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6">
    <w:nsid w:val="BB5D9333"/>
    <w:multiLevelType w:val="singleLevel"/>
    <w:tmpl w:val="BB5D9333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7">
    <w:nsid w:val="BD418BF8"/>
    <w:multiLevelType w:val="singleLevel"/>
    <w:tmpl w:val="BD418BF8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8">
    <w:nsid w:val="D6B4E549"/>
    <w:multiLevelType w:val="singleLevel"/>
    <w:tmpl w:val="D6B4E549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9">
    <w:nsid w:val="E1092021"/>
    <w:multiLevelType w:val="singleLevel"/>
    <w:tmpl w:val="E1092021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0">
    <w:nsid w:val="187F0E25"/>
    <w:multiLevelType w:val="singleLevel"/>
    <w:tmpl w:val="187F0E25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1">
    <w:nsid w:val="28DEF09F"/>
    <w:multiLevelType w:val="singleLevel"/>
    <w:tmpl w:val="28DEF09F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2">
    <w:nsid w:val="3196D810"/>
    <w:multiLevelType w:val="singleLevel"/>
    <w:tmpl w:val="3196D810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3">
    <w:nsid w:val="3D8A872C"/>
    <w:multiLevelType w:val="singleLevel"/>
    <w:tmpl w:val="3D8A872C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4">
    <w:nsid w:val="673FC20C"/>
    <w:multiLevelType w:val="singleLevel"/>
    <w:tmpl w:val="673FC20C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5">
    <w:nsid w:val="6B79AD1F"/>
    <w:multiLevelType w:val="singleLevel"/>
    <w:tmpl w:val="6B79AD1F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6">
    <w:nsid w:val="6E1624A4"/>
    <w:multiLevelType w:val="singleLevel"/>
    <w:tmpl w:val="6E1624A4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7">
    <w:nsid w:val="799DAFF5"/>
    <w:multiLevelType w:val="singleLevel"/>
    <w:tmpl w:val="799DAFF5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num w:numId="1">
    <w:abstractNumId w:val="11"/>
  </w:num>
  <w:num w:numId="2">
    <w:abstractNumId w:val="9"/>
  </w:num>
  <w:num w:numId="3">
    <w:abstractNumId w:val="17"/>
  </w:num>
  <w:num w:numId="4">
    <w:abstractNumId w:val="13"/>
  </w:num>
  <w:num w:numId="5">
    <w:abstractNumId w:val="12"/>
  </w:num>
  <w:num w:numId="6">
    <w:abstractNumId w:val="14"/>
  </w:num>
  <w:num w:numId="7">
    <w:abstractNumId w:val="1"/>
  </w:num>
  <w:num w:numId="8">
    <w:abstractNumId w:val="10"/>
  </w:num>
  <w:num w:numId="9">
    <w:abstractNumId w:val="2"/>
  </w:num>
  <w:num w:numId="10">
    <w:abstractNumId w:val="7"/>
  </w:num>
  <w:num w:numId="11">
    <w:abstractNumId w:val="3"/>
  </w:num>
  <w:num w:numId="12">
    <w:abstractNumId w:val="0"/>
  </w:num>
  <w:num w:numId="13">
    <w:abstractNumId w:val="15"/>
  </w:num>
  <w:num w:numId="14">
    <w:abstractNumId w:val="8"/>
  </w:num>
  <w:num w:numId="15">
    <w:abstractNumId w:val="5"/>
  </w:num>
  <w:num w:numId="16">
    <w:abstractNumId w:val="4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splitPgBreakAndParaMark/>
    <w:compatSetting w:name="compatibilityMode" w:uri="http://schemas.microsoft.com/office/word" w:val="12"/>
  </w:compat>
  <w:rsids>
    <w:rsidRoot w:val="00000000"/>
    <w:rsid w:val="309519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2026-03-03T13:15:00Z</dcterms:created>
  <dc:creator>Apache POI</dc:creator>
  <cp:lastModifiedBy>半江芦苇</cp:lastModifiedBy>
  <dcterms:modified xsi:type="dcterms:W3CDTF">2026-03-03T13:29:20Z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