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建筑节能设计报告书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2025年11月15日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_Toc20213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_Toc28825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_Toc17281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_Toc4794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_Toc16110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_Toc22439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_Toc13483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_Toc27271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_Toc23278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_Toc10674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_Toc7081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_Toc12398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_Toc25046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_Toc12136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_Toc20102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316568035"/>
      <w:bookmarkStart w:id="16" w:name="_Toc134610461"/>
      <w:bookmarkStart w:id="17" w:name="_Toc2021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筑绿未来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2068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37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27.0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7604.36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2280.46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30" w:name="结构类型"/>
            <w:bookmarkEnd w:id="30"/>
            <w:r>
              <w:rPr>
                <w:rFonts w:hint="eastAsia" w:ascii="宋体" w:hAnsi="宋体"/>
                <w:lang w:val="en-US" w:eastAsia="zh-CN"/>
              </w:rPr>
              <w:t>框架结构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0.50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0.62</w:t>
            </w:r>
            <w:bookmarkEnd w:id="32"/>
          </w:p>
        </w:tc>
      </w:tr>
      <w:bookmarkEnd w:id="18"/>
    </w:tbl>
    <w:p>
      <w:pPr>
        <w:pStyle w:val="2"/>
      </w:pPr>
      <w:bookmarkStart w:id="33" w:name="_Toc134610462"/>
      <w:bookmarkStart w:id="34" w:name="_Toc316568036"/>
      <w:bookmarkStart w:id="35" w:name="_Toc2882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《福建省公共建筑节能设计标准》DBJ/T 13-305-2023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728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476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5781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7523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38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794"/>
      <w:r>
        <w:rPr>
          <w:rFonts w:hint="eastAsia"/>
          <w:kern w:val="2"/>
          <w:szCs w:val="24"/>
          <w:lang w:val="en-US"/>
        </w:rPr>
        <w:t>规定性指标检查</w:t>
      </w:r>
      <w:bookmarkEnd w:id="39"/>
      <w:bookmarkStart w:id="51" w:name="_GoBack"/>
      <w:bookmarkEnd w:id="51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611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2439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屋顶构造四 (K=0.192,D=5.688)：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50mm＋</w:t>
      </w:r>
      <w:r>
        <w:rPr>
          <w:rFonts w:hint="eastAsia"/>
          <w:color w:val="800000"/>
          <w:kern w:val="2"/>
          <w:szCs w:val="24"/>
          <w:lang w:val="en-US"/>
        </w:rPr>
        <w:t>挤塑聚苯板 140mm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4mm＋水泥砂浆 30mm＋轻集料混凝土2%找坡层 60mm＋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(K=1.612,D=3.031)：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外墙构造一 (K=1.113,D=2.941)：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(K=1.612,D=3.031)：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梁柱构造一 (K=1.113,D=2.941)：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钢筋混凝土1 200mm</w:t>
      </w:r>
      <w:r>
        <w:rPr>
          <w:rFonts w:hint="eastAsia"/>
          <w:color w:val="000000"/>
          <w:kern w:val="2"/>
          <w:szCs w:val="24"/>
          <w:lang w:val="en-US"/>
        </w:rPr>
        <w:t>＋石灰砂浆1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(K=1.178,D=2.146)：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钢筋混凝土1 120mm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rFonts w:hint="eastAsia"/>
          <w:color w:val="0000FF"/>
          <w:kern w:val="2"/>
          <w:szCs w:val="24"/>
          <w:lang w:val="en-US"/>
        </w:rPr>
        <w:t>6CEF11-38+9A+6C—120系列隐框幕墙单元(14) (K=2.089)：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传热系数2.089W/㎡.K，窗太阳得热系数0.247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断热铝合金--6中透光双银Low-E玻璃+9Ar+6透明玻璃+9Ar+6透明玻璃(2) (K=1.540)：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传热系数1.540W/㎡.K，窗太阳得热系数0.250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348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2280.46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7604.36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444.93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532.90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2280.46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7604.36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727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27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屋顶构造四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屋顶构造四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374.68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438.09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K≤0.40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067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301.89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373.93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311.20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254.53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307.38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293.86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1031.63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1286.37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应满足表4.2.1-2的规定(K≤1.50)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708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239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7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断热铝合金--6中透光双银Low-E玻璃+9Ar+6透明玻璃+9Ar+6透明玻璃(2)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PC1821，PC1829，TC1215，TC1221，BYC1026，BYC1030，PC2121，PC2127，PC1221，PC1226，PC1229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6CEF11-38+9A+6C—120系列隐框幕墙单元(14)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MLC17326，MLC6839，PC17326，PC6824，PC8324，PC8339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来源：《温和地区居住建筑与公共建筑构造图集》(玻璃幕墙) 滇15SJ6∕7-2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平板外遮阳/固定百叶外遮阳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《福建省公共建筑节能设计标准》DBJ/T 13-305-2023第4.1.4条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甲类建筑东、西、南向外窗和透光幕墙应采取遮阳措施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注：达标朝向只列出一项，不达标朝向最多列出10项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2.029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r>
              <w:t>K≤2.60, SHGC≤0.35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r>
              <w:t>K≤2.20, SHGC≤0.25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r>
              <w:t>K≤2.80,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r>
              <w:t>K≤2.80, 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519.96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《福建省公共建筑节能设计标准》DBJ/T 13-305-2023第4.2.1条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应满足表4.2.1-2的规定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04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《福建省公共建筑节能设计标准》DBJ/T 13-305-2023第4.2.8条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非中空玻璃面积≤同一立面透光面积的15%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213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不满足自然通风房间设置机械通风换气装置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《福建省公共建筑节能设计标准》DBJ/T 13-305-2023第4.1.6条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主要功能房间外窗应设置可开启窗扇或通风换气装置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010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13-305-2023的规定,节能设计符合要求。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A8506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60B1027"/>
    <w:rsid w:val="5D482F31"/>
    <w:rsid w:val="60682029"/>
    <w:rsid w:val="69A85069"/>
    <w:rsid w:val="7F0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5146</Words>
  <Characters>9158</Characters>
  <Lines>14</Lines>
  <Paragraphs>4</Paragraphs>
  <TotalTime>6</TotalTime>
  <ScaleCrop>false</ScaleCrop>
  <LinksUpToDate>false</LinksUpToDate>
  <CharactersWithSpaces>9351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2025-11-15T13:08:00Z</dcterms:created>
  <dc:creator>半江芦苇</dc:creator>
  <cp:lastModifiedBy>半江芦苇</cp:lastModifiedBy>
  <dcterms:modified xsi:type="dcterms:W3CDTF">2025-12-25T13:07:11Z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