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outlineLvl w:val="0"/>
      </w:pPr>
      <w:r>
        <w:rPr>
          <w:rStyle w:val="7"/>
          <w:b/>
        </w:rPr>
        <w:t>装饰装修材料产品检验报告</w:t>
      </w:r>
    </w:p>
    <w:p>
      <w:pPr>
        <w:pStyle w:val="4"/>
        <w:keepNext w:val="0"/>
        <w:keepLines w:val="0"/>
        <w:widowControl/>
        <w:suppressLineNumbers w:val="0"/>
      </w:pPr>
      <w:r>
        <w:rPr>
          <w:rStyle w:val="7"/>
        </w:rPr>
        <w:t>报告编号：</w:t>
      </w:r>
      <w:r>
        <w:t xml:space="preserve"> ZLWL-CLJC-20260312-01</w:t>
      </w:r>
      <w:r>
        <w:br w:type="textWrapping"/>
      </w:r>
      <w:r>
        <w:rPr>
          <w:rStyle w:val="7"/>
        </w:rPr>
        <w:t>项目名称：</w:t>
      </w:r>
      <w:r>
        <w:t xml:space="preserve"> “筑绿未来”办公楼（综合楼）装饰装修工程</w:t>
      </w:r>
      <w:r>
        <w:br w:type="textWrapping"/>
      </w:r>
      <w:r>
        <w:rPr>
          <w:rStyle w:val="7"/>
        </w:rPr>
        <w:t>委托单位：</w:t>
      </w:r>
      <w:r>
        <w:t xml:space="preserve"> 筑绿未来项目开发有限公司</w:t>
      </w:r>
      <w:r>
        <w:br w:type="textWrapping"/>
      </w:r>
      <w:r>
        <w:rPr>
          <w:rStyle w:val="7"/>
        </w:rPr>
        <w:t>生产单位/供应商：</w:t>
      </w:r>
      <w:r>
        <w:t xml:space="preserve"> 各材料对应供应商（详见检验过程）</w:t>
      </w:r>
      <w:r>
        <w:br w:type="textWrapping"/>
      </w:r>
      <w:r>
        <w:rPr>
          <w:rStyle w:val="7"/>
        </w:rPr>
        <w:t>检验类别：</w:t>
      </w:r>
      <w:r>
        <w:t xml:space="preserve"> 委托检验（材料进场验收）</w:t>
      </w:r>
      <w:r>
        <w:br w:type="textWrapping"/>
      </w:r>
      <w:r>
        <w:rPr>
          <w:rStyle w:val="7"/>
        </w:rPr>
        <w:t>检验机构：</w:t>
      </w:r>
      <w:r>
        <w:t xml:space="preserve"> [具备CMA和CNAS资质的第三方检测机构名称]</w:t>
      </w:r>
      <w:r>
        <w:br w:type="textWrapping"/>
      </w:r>
      <w:r>
        <w:rPr>
          <w:rStyle w:val="7"/>
        </w:rPr>
        <w:t>报告日期：</w:t>
      </w:r>
      <w:r>
        <w:t xml:space="preserve"> 2026年3月12日</w:t>
      </w:r>
    </w:p>
    <w:p>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outlineLvl w:val="0"/>
      </w:pPr>
      <w:r>
        <w:rPr>
          <w:rStyle w:val="7"/>
          <w:b/>
        </w:rPr>
        <w:t>一、 检验概况</w:t>
      </w:r>
    </w:p>
    <w:p>
      <w:pPr>
        <w:pStyle w:val="4"/>
        <w:keepNext w:val="0"/>
        <w:keepLines w:val="0"/>
        <w:widowControl/>
        <w:suppressLineNumbers w:val="0"/>
      </w:pPr>
      <w:r>
        <w:rPr>
          <w:rStyle w:val="7"/>
        </w:rPr>
        <w:t>1.1 检验目的</w:t>
      </w:r>
      <w:r>
        <w:br w:type="textWrapping"/>
      </w:r>
      <w:r>
        <w:t>为确保“筑绿未来”办公楼项目所使用的装饰装修材料质量符合国家相关标准、绿色建筑评价要求及设计文件规定，从源头控制室内环境污染，保障工程质量和室内环境安全，特委托本机构对进场的主要装饰装修材料进行抽样检验。</w:t>
      </w:r>
    </w:p>
    <w:p>
      <w:pPr>
        <w:pStyle w:val="4"/>
        <w:keepNext w:val="0"/>
        <w:keepLines w:val="0"/>
        <w:widowControl/>
        <w:suppressLineNumbers w:val="0"/>
      </w:pPr>
      <w:r>
        <w:rPr>
          <w:rStyle w:val="7"/>
        </w:rPr>
        <w:t>1.2 检验依据</w:t>
      </w:r>
    </w:p>
    <w:p>
      <w:pPr>
        <w:keepNext w:val="0"/>
        <w:keepLines w:val="0"/>
        <w:widowControl/>
        <w:numPr>
          <w:ilvl w:val="0"/>
          <w:numId w:val="1"/>
        </w:numPr>
        <w:suppressLineNumbers w:val="0"/>
        <w:spacing w:before="0" w:beforeAutospacing="1" w:after="0" w:afterAutospacing="1"/>
        <w:ind w:left="720" w:hanging="360"/>
      </w:pPr>
      <w:r>
        <w:t>GB 50325-2020《民用建筑工程室内环境污染控制标准》</w:t>
      </w:r>
    </w:p>
    <w:p>
      <w:pPr>
        <w:keepNext w:val="0"/>
        <w:keepLines w:val="0"/>
        <w:widowControl/>
        <w:numPr>
          <w:ilvl w:val="0"/>
          <w:numId w:val="1"/>
        </w:numPr>
        <w:suppressLineNumbers w:val="0"/>
        <w:spacing w:before="0" w:beforeAutospacing="1" w:after="0" w:afterAutospacing="1"/>
        <w:ind w:left="720" w:hanging="360"/>
      </w:pPr>
      <w:r>
        <w:t>GB/T 18883-2022《室内空气质量标准》</w:t>
      </w:r>
    </w:p>
    <w:p>
      <w:pPr>
        <w:keepNext w:val="0"/>
        <w:keepLines w:val="0"/>
        <w:widowControl/>
        <w:numPr>
          <w:ilvl w:val="0"/>
          <w:numId w:val="1"/>
        </w:numPr>
        <w:suppressLineNumbers w:val="0"/>
        <w:spacing w:before="0" w:beforeAutospacing="1" w:after="0" w:afterAutospacing="1"/>
        <w:ind w:left="720" w:hanging="360"/>
      </w:pPr>
      <w:r>
        <w:t>GB 18580-2017《室内装饰装修材料 人造板及其制品中甲醛释放限量》</w:t>
      </w:r>
    </w:p>
    <w:p>
      <w:pPr>
        <w:keepNext w:val="0"/>
        <w:keepLines w:val="0"/>
        <w:widowControl/>
        <w:numPr>
          <w:ilvl w:val="0"/>
          <w:numId w:val="1"/>
        </w:numPr>
        <w:suppressLineNumbers w:val="0"/>
        <w:spacing w:before="0" w:beforeAutospacing="1" w:after="0" w:afterAutospacing="1"/>
        <w:ind w:left="720" w:hanging="360"/>
      </w:pPr>
      <w:r>
        <w:t>GB 18582-2020《建筑用墙面涂料中有害物质限量》</w:t>
      </w:r>
    </w:p>
    <w:p>
      <w:pPr>
        <w:keepNext w:val="0"/>
        <w:keepLines w:val="0"/>
        <w:widowControl/>
        <w:numPr>
          <w:ilvl w:val="0"/>
          <w:numId w:val="1"/>
        </w:numPr>
        <w:suppressLineNumbers w:val="0"/>
        <w:spacing w:before="0" w:beforeAutospacing="1" w:after="0" w:afterAutospacing="1"/>
        <w:ind w:left="720" w:hanging="360"/>
      </w:pPr>
      <w:r>
        <w:t>GB/T 35601-2017《绿色产品评价 人造板和木质地板》</w:t>
      </w:r>
    </w:p>
    <w:p>
      <w:pPr>
        <w:keepNext w:val="0"/>
        <w:keepLines w:val="0"/>
        <w:widowControl/>
        <w:numPr>
          <w:ilvl w:val="0"/>
          <w:numId w:val="1"/>
        </w:numPr>
        <w:suppressLineNumbers w:val="0"/>
        <w:spacing w:before="0" w:beforeAutospacing="1" w:after="0" w:afterAutospacing="1"/>
        <w:ind w:left="720" w:hanging="360"/>
      </w:pPr>
      <w:r>
        <w:t>GB/T 35602-2017《绿色产品评价 涂料》</w:t>
      </w:r>
    </w:p>
    <w:p>
      <w:pPr>
        <w:keepNext w:val="0"/>
        <w:keepLines w:val="0"/>
        <w:widowControl/>
        <w:numPr>
          <w:ilvl w:val="0"/>
          <w:numId w:val="1"/>
        </w:numPr>
        <w:suppressLineNumbers w:val="0"/>
        <w:spacing w:before="0" w:beforeAutospacing="1" w:after="0" w:afterAutospacing="1"/>
        <w:ind w:left="720" w:hanging="360"/>
      </w:pPr>
      <w:r>
        <w:t>本项目设计文件《选用装修材料的种类、用量及相关检测报告》</w:t>
      </w:r>
    </w:p>
    <w:p>
      <w:pPr>
        <w:keepNext w:val="0"/>
        <w:keepLines w:val="0"/>
        <w:widowControl/>
        <w:numPr>
          <w:ilvl w:val="0"/>
          <w:numId w:val="1"/>
        </w:numPr>
        <w:suppressLineNumbers w:val="0"/>
        <w:spacing w:before="0" w:beforeAutospacing="1" w:after="0" w:afterAutospacing="1"/>
        <w:ind w:left="720" w:hanging="360"/>
      </w:pPr>
      <w:r>
        <w:t>其他相关产品国家及行业标准</w:t>
      </w:r>
    </w:p>
    <w:p>
      <w:pPr>
        <w:pStyle w:val="4"/>
        <w:keepNext w:val="0"/>
        <w:keepLines w:val="0"/>
        <w:widowControl/>
        <w:suppressLineNumbers w:val="0"/>
      </w:pPr>
      <w:r>
        <w:rPr>
          <w:rStyle w:val="7"/>
        </w:rPr>
        <w:t>1.3 检验项目</w:t>
      </w:r>
      <w:r>
        <w:br w:type="textWrapping"/>
      </w:r>
      <w:r>
        <w:t>针对不同材料类别，重点检验其有害物质释放量/含量及关键物理性能，包括但不限于：甲醛释放量、挥发性有机化合物（TVOC）释放量/含量、苯系物释放量/含量、放射性核素、耐磨性、耐洗刷性、粘结强度等。</w:t>
      </w:r>
    </w:p>
    <w:p>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outlineLvl w:val="0"/>
      </w:pPr>
      <w:r>
        <w:rPr>
          <w:rStyle w:val="7"/>
          <w:b/>
        </w:rPr>
        <w:t>二、 抽样情况</w:t>
      </w:r>
    </w:p>
    <w:p>
      <w:pPr>
        <w:pStyle w:val="4"/>
        <w:keepNext w:val="0"/>
        <w:keepLines w:val="0"/>
        <w:widowControl/>
        <w:suppressLineNumbers w:val="0"/>
      </w:pPr>
      <w:r>
        <w:rPr>
          <w:rStyle w:val="7"/>
        </w:rPr>
        <w:t>2.1 抽样原则</w:t>
      </w:r>
      <w:r>
        <w:br w:type="textWrapping"/>
      </w:r>
      <w:r>
        <w:t>严格按照本项目规范文件要求及GB/T 2828.1-2012《计数抽样检验程序》执行，遵循“每批次必检”的原则，在材料进场时随机抽样。</w:t>
      </w:r>
    </w:p>
    <w:p>
      <w:pPr>
        <w:pStyle w:val="4"/>
        <w:keepNext w:val="0"/>
        <w:keepLines w:val="0"/>
        <w:widowControl/>
        <w:suppressLineNumbers w:val="0"/>
      </w:pPr>
      <w:r>
        <w:rPr>
          <w:rStyle w:val="7"/>
        </w:rPr>
        <w:t>2.2 抽样信息</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2"/>
        <w:gridCol w:w="2109"/>
        <w:gridCol w:w="1125"/>
        <w:gridCol w:w="977"/>
        <w:gridCol w:w="750"/>
        <w:gridCol w:w="1022"/>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材料类别</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代表产品/型号</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生产厂家/品牌</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抽样批次</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抽样数量</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抽样日期</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抽样地点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墙体及顶面涂料</w:t>
            </w:r>
            <w:r>
              <w:rPr>
                <w:rFonts w:ascii="宋体" w:hAnsi="宋体" w:eastAsia="宋体" w:cs="宋体"/>
                <w:kern w:val="0"/>
                <w:sz w:val="24"/>
                <w:szCs w:val="24"/>
                <w:lang w:val="en-US" w:eastAsia="zh-CN" w:bidi="ar"/>
              </w:rPr>
              <w:t xml:space="preserve">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立邦原生植萃全效内墙漆</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立邦涂料</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项目现场仓库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石塑地板(SPC)</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商用级SPC锁扣地板</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品牌A</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项目现场仓库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饰面板材</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E0级环保饰面板</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品牌B</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3张</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项目现场仓库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系统家具板材</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E1级及以上刨花板</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品牌C</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2张</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家具厂库房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环保密封胶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中性硅酮密封胶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品牌D</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5支</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项目现场仓库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矿棉吸声板</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600x600mm 矿棉板</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品牌E</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4块</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2025-X-X</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项目现场仓库</w:t>
            </w:r>
          </w:p>
        </w:tc>
      </w:tr>
    </w:tbl>
    <w:p>
      <w:pPr>
        <w:keepNext w:val="0"/>
        <w:keepLines w:val="0"/>
        <w:widowControl/>
        <w:suppressLineNumbers w:val="0"/>
      </w:pPr>
      <w:r>
        <w:rPr>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outlineLvl w:val="0"/>
      </w:pPr>
      <w:r>
        <w:rPr>
          <w:rStyle w:val="7"/>
          <w:b/>
        </w:rPr>
        <w:t>三、 检验过程与结果</w:t>
      </w:r>
    </w:p>
    <w:p>
      <w:pPr>
        <w:pStyle w:val="4"/>
        <w:keepNext w:val="0"/>
        <w:keepLines w:val="0"/>
        <w:widowControl/>
        <w:suppressLineNumbers w:val="0"/>
      </w:pPr>
      <w:r>
        <w:rPr>
          <w:rStyle w:val="7"/>
        </w:rPr>
        <w:t>3.1 检验方法</w:t>
      </w:r>
      <w:r>
        <w:br w:type="textWrapping"/>
      </w:r>
      <w:r>
        <w:t>依据各材料对应的国家检验标准，在实验室内采用气候箱法、干燥器法、气相色谱法、分光光度法等对有害物质进行定量分析；依据产品标准对物理性能进行测试。</w:t>
      </w:r>
    </w:p>
    <w:p>
      <w:pPr>
        <w:pStyle w:val="4"/>
        <w:keepNext w:val="0"/>
        <w:keepLines w:val="0"/>
        <w:widowControl/>
        <w:suppressLineNumbers w:val="0"/>
      </w:pPr>
      <w:r>
        <w:rPr>
          <w:rStyle w:val="7"/>
        </w:rPr>
        <w:t>3.2 检验结果汇总</w:t>
      </w:r>
      <w:r>
        <w:br w:type="textWrapping"/>
      </w:r>
      <w:r>
        <w:t>以下结果基于对抽样样品的实验室检测及对供应商提供的有效期内型式检验报告的核查确认。</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84"/>
        <w:gridCol w:w="1112"/>
        <w:gridCol w:w="935"/>
        <w:gridCol w:w="1535"/>
        <w:gridCol w:w="1569"/>
        <w:gridCol w:w="508"/>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序号</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材料名称</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检验项目</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标准要求</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实测/核查结果</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单项判定</w:t>
            </w:r>
          </w:p>
        </w:tc>
        <w:tc>
          <w:tcPr>
            <w:tcW w:w="0" w:type="auto"/>
            <w:shd w:val="clear"/>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备注（关键指标）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1</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环保面漆</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甲醛含量</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 mg/kg</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未检出</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甲醛释放率≤0.0045 mg/(m²·h)，F1级</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jc w:val="left"/>
              <w:rPr>
                <w:rFonts w:hint="eastAsia" w:ascii="宋体"/>
                <w:sz w:val="24"/>
                <w:szCs w:val="24"/>
              </w:rPr>
            </w:pPr>
          </w:p>
        </w:tc>
        <w:tc>
          <w:tcPr>
            <w:tcW w:w="0" w:type="auto"/>
            <w:shd w:val="clear"/>
            <w:vAlign w:val="center"/>
          </w:tcPr>
          <w:p>
            <w:pPr>
              <w:jc w:val="left"/>
              <w:rPr>
                <w:rFonts w:hint="eastAsia" w:ascii="宋体"/>
                <w:sz w:val="24"/>
                <w:szCs w:val="24"/>
              </w:rPr>
            </w:pP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TVOC含量</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≤80 g/L</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 g/L</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TVOC释放率≤0.0062 mg/(m²·h)</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jc w:val="left"/>
              <w:rPr>
                <w:rFonts w:hint="eastAsia" w:ascii="宋体"/>
                <w:sz w:val="24"/>
                <w:szCs w:val="24"/>
              </w:rPr>
            </w:pPr>
          </w:p>
        </w:tc>
        <w:tc>
          <w:tcPr>
            <w:tcW w:w="0" w:type="auto"/>
            <w:shd w:val="clear"/>
            <w:vAlign w:val="center"/>
          </w:tcPr>
          <w:p>
            <w:pPr>
              <w:jc w:val="left"/>
              <w:rPr>
                <w:rFonts w:hint="eastAsia" w:ascii="宋体"/>
                <w:sz w:val="24"/>
                <w:szCs w:val="24"/>
              </w:rPr>
            </w:pP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耐洗刷性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≥10000次</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≥15000次</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符合设计文件要求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2</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石塑地板(SPC)</w:t>
            </w:r>
            <w:r>
              <w:rPr>
                <w:rFonts w:ascii="宋体" w:hAnsi="宋体" w:eastAsia="宋体" w:cs="宋体"/>
                <w:kern w:val="0"/>
                <w:sz w:val="24"/>
                <w:szCs w:val="24"/>
                <w:lang w:val="en-US" w:eastAsia="zh-CN" w:bidi="ar"/>
              </w:rPr>
              <w:t xml:space="preserve">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甲醛释放量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≤0.05 mg/m³</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 mg/m³</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甲醛释放率≤0.0012 mg/(m²·h)，F1级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jc w:val="left"/>
              <w:rPr>
                <w:rFonts w:hint="eastAsia" w:ascii="宋体"/>
                <w:sz w:val="24"/>
                <w:szCs w:val="24"/>
              </w:rPr>
            </w:pPr>
          </w:p>
        </w:tc>
        <w:tc>
          <w:tcPr>
            <w:tcW w:w="0" w:type="auto"/>
            <w:shd w:val="clear"/>
            <w:vAlign w:val="center"/>
          </w:tcPr>
          <w:p>
            <w:pPr>
              <w:jc w:val="left"/>
              <w:rPr>
                <w:rFonts w:hint="eastAsia" w:ascii="宋体"/>
                <w:sz w:val="24"/>
                <w:szCs w:val="24"/>
              </w:rPr>
            </w:pP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TVOC释放量</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≤0.0355 mg/(m²·h)</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TVOC释放率≤0.0355 mg/(m²·h)，F3级</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jc w:val="left"/>
              <w:rPr>
                <w:rFonts w:hint="eastAsia" w:ascii="宋体"/>
                <w:sz w:val="24"/>
                <w:szCs w:val="24"/>
              </w:rPr>
            </w:pPr>
          </w:p>
        </w:tc>
        <w:tc>
          <w:tcPr>
            <w:tcW w:w="0" w:type="auto"/>
            <w:shd w:val="clear"/>
            <w:vAlign w:val="center"/>
          </w:tcPr>
          <w:p>
            <w:pPr>
              <w:jc w:val="left"/>
              <w:rPr>
                <w:rFonts w:hint="eastAsia" w:ascii="宋体"/>
                <w:sz w:val="24"/>
                <w:szCs w:val="24"/>
              </w:rPr>
            </w:pP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耐磨层厚度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≥0.3mm</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0.5mm</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符合设计文件要求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3</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饰面板（环保板材）</w:t>
            </w:r>
            <w:r>
              <w:rPr>
                <w:rFonts w:ascii="宋体" w:hAnsi="宋体" w:eastAsia="宋体" w:cs="宋体"/>
                <w:kern w:val="0"/>
                <w:sz w:val="24"/>
                <w:szCs w:val="24"/>
                <w:lang w:val="en-US" w:eastAsia="zh-CN" w:bidi="ar"/>
              </w:rPr>
              <w:t xml:space="preserve">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甲醛释放量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≤0.124 mg/m³ (E0)</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≤0.05 mg/m³</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甲醛释放率≤0.0023 mg/(m²·h)，F1级</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jc w:val="left"/>
              <w:rPr>
                <w:rFonts w:hint="eastAsia" w:ascii="宋体"/>
                <w:sz w:val="24"/>
                <w:szCs w:val="24"/>
              </w:rPr>
            </w:pPr>
          </w:p>
        </w:tc>
        <w:tc>
          <w:tcPr>
            <w:tcW w:w="0" w:type="auto"/>
            <w:shd w:val="clear"/>
            <w:vAlign w:val="center"/>
          </w:tcPr>
          <w:p>
            <w:pPr>
              <w:jc w:val="left"/>
              <w:rPr>
                <w:rFonts w:hint="eastAsia" w:ascii="宋体"/>
                <w:sz w:val="24"/>
                <w:szCs w:val="24"/>
              </w:rPr>
            </w:pP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TVOC释放量</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≤0.0043 mg/(m²·h)</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TVOC释放率≤0.0043 mg/(m²·h)，F1级</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4</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系统家具板材</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甲醛释放量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≤0.124 mg/m³ (E1)</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≤0.08 mg/m³</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符合GB 18580-2017 E1级要求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5</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PVC墙纸</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甲醛释放量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≤0.05 mg/(m²·h)</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≤0.0057 mg/(m²·h)</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甲醛释放率≤0.0057 mg/(m²·h)，F1级</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jc w:val="left"/>
              <w:rPr>
                <w:rFonts w:hint="eastAsia" w:ascii="宋体"/>
                <w:sz w:val="24"/>
                <w:szCs w:val="24"/>
              </w:rPr>
            </w:pPr>
          </w:p>
        </w:tc>
        <w:tc>
          <w:tcPr>
            <w:tcW w:w="0" w:type="auto"/>
            <w:shd w:val="clear"/>
            <w:vAlign w:val="center"/>
          </w:tcPr>
          <w:p>
            <w:pPr>
              <w:jc w:val="left"/>
              <w:rPr>
                <w:rFonts w:hint="eastAsia" w:ascii="宋体"/>
                <w:sz w:val="24"/>
                <w:szCs w:val="24"/>
              </w:rPr>
            </w:pP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TVOC释放量</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≤0.0366 mg/(m²·h)</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TVOC释放率≤0.0366 mg/(m²·h)，F3级</w:t>
            </w:r>
            <w:r>
              <w:rPr>
                <w:rFonts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6</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环保密封胶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TVOC含量</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 g/kg</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 g/kg</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低VOC，符合GB/T 14683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7</w:t>
            </w:r>
          </w:p>
        </w:tc>
        <w:tc>
          <w:tcPr>
            <w:tcW w:w="0" w:type="auto"/>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矿棉吸声板</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降噪系数(NRC)</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≥0.55</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0.60</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符合设计文件要求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jc w:val="left"/>
              <w:rPr>
                <w:rFonts w:hint="eastAsia" w:ascii="宋体"/>
                <w:sz w:val="24"/>
                <w:szCs w:val="24"/>
              </w:rPr>
            </w:pPr>
          </w:p>
        </w:tc>
        <w:tc>
          <w:tcPr>
            <w:tcW w:w="0" w:type="auto"/>
            <w:shd w:val="clear"/>
            <w:vAlign w:val="center"/>
          </w:tcPr>
          <w:p>
            <w:pPr>
              <w:jc w:val="left"/>
              <w:rPr>
                <w:rFonts w:hint="eastAsia" w:ascii="宋体"/>
                <w:sz w:val="24"/>
                <w:szCs w:val="24"/>
              </w:rPr>
            </w:pP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防火等级</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A级</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A级</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合格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符合设计文件要求</w:t>
            </w:r>
          </w:p>
        </w:tc>
      </w:tr>
    </w:tbl>
    <w:p>
      <w:pPr>
        <w:pStyle w:val="4"/>
        <w:keepNext w:val="0"/>
        <w:keepLines w:val="0"/>
        <w:widowControl/>
        <w:suppressLineNumbers w:val="0"/>
      </w:pPr>
      <w:r>
        <w:rPr>
          <w:rStyle w:val="7"/>
        </w:rPr>
        <w:t>3.3 室内空气质量预评估符合性</w:t>
      </w:r>
      <w:r>
        <w:br w:type="textWrapping"/>
      </w:r>
      <w:r>
        <w:t>根据本项目《污染物浓度预评估分析报告》，采用上述检验合格的材料进行装修后，主要功能房间（办公室、会议室等）的甲醛、苯、TVOC等污染物浓度预测值，均远低于《室内空气质量标准》GB/T 18883规定限值的20%以上，满足绿色建筑二星级/三星级评价要求。</w:t>
      </w:r>
    </w:p>
    <w:p>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outlineLvl w:val="0"/>
      </w:pPr>
      <w:r>
        <w:rPr>
          <w:rStyle w:val="7"/>
          <w:b/>
        </w:rPr>
        <w:t>四、 检验结论</w:t>
      </w:r>
    </w:p>
    <w:p>
      <w:pPr>
        <w:keepNext w:val="0"/>
        <w:keepLines w:val="0"/>
        <w:widowControl/>
        <w:numPr>
          <w:ilvl w:val="0"/>
          <w:numId w:val="2"/>
        </w:numPr>
        <w:suppressLineNumbers w:val="0"/>
        <w:spacing w:before="0" w:beforeAutospacing="1" w:after="0" w:afterAutospacing="1"/>
        <w:ind w:left="720" w:hanging="360"/>
      </w:pPr>
      <w:r>
        <w:rPr>
          <w:rStyle w:val="7"/>
        </w:rPr>
        <w:t>总体结论：</w:t>
      </w:r>
      <w:r>
        <w:t xml:space="preserve"> 经检验，“筑绿未来”办公楼项目本次送检及核查的</w:t>
      </w:r>
      <w:r>
        <w:rPr>
          <w:rStyle w:val="7"/>
        </w:rPr>
        <w:t>主要装饰装修材料</w:t>
      </w:r>
      <w:r>
        <w:t>，其</w:t>
      </w:r>
      <w:r>
        <w:rPr>
          <w:rStyle w:val="7"/>
        </w:rPr>
        <w:t>有害物质释放量/含量及关键物理性能指标，均符合国家强制性标准、相关绿色产品评价标准及本项目设计文件的严格要求</w:t>
      </w:r>
      <w:r>
        <w:t>。</w:t>
      </w:r>
    </w:p>
    <w:p>
      <w:pPr>
        <w:keepNext w:val="0"/>
        <w:keepLines w:val="0"/>
        <w:widowControl/>
        <w:numPr>
          <w:ilvl w:val="0"/>
          <w:numId w:val="2"/>
        </w:numPr>
        <w:suppressLineNumbers w:val="0"/>
        <w:spacing w:before="0" w:beforeAutospacing="1" w:after="0" w:afterAutospacing="1"/>
        <w:ind w:left="720" w:hanging="360"/>
      </w:pPr>
      <w:r>
        <w:rPr>
          <w:rStyle w:val="7"/>
        </w:rPr>
        <w:t>绿色建筑符合性：</w:t>
      </w:r>
      <w:r>
        <w:t xml:space="preserve"> 所选用材料满足《绿色建筑评价标准》GB/T 50378-2024第5.2.2条“选用的装饰装修材料满足有害物质限量要求”的评价要点。根据材料类别（涂料、地板、板材、墙纸、密封胶等），</w:t>
      </w:r>
      <w:r>
        <w:rPr>
          <w:rStyle w:val="7"/>
        </w:rPr>
        <w:t>预计可获得该条文满分8分</w:t>
      </w:r>
      <w:r>
        <w:t>。</w:t>
      </w:r>
    </w:p>
    <w:p>
      <w:pPr>
        <w:keepNext w:val="0"/>
        <w:keepLines w:val="0"/>
        <w:widowControl/>
        <w:numPr>
          <w:ilvl w:val="0"/>
          <w:numId w:val="2"/>
        </w:numPr>
        <w:suppressLineNumbers w:val="0"/>
        <w:spacing w:before="0" w:beforeAutospacing="1" w:after="0" w:afterAutospacing="1"/>
        <w:ind w:left="720" w:hanging="360"/>
      </w:pPr>
      <w:r>
        <w:rPr>
          <w:rStyle w:val="7"/>
        </w:rPr>
        <w:t>建议：</w:t>
      </w:r>
      <w:r>
        <w:t xml:space="preserve"> </w:t>
      </w:r>
    </w:p>
    <w:p>
      <w:pPr>
        <w:keepNext w:val="0"/>
        <w:keepLines w:val="0"/>
        <w:widowControl/>
        <w:numPr>
          <w:ilvl w:val="1"/>
          <w:numId w:val="1"/>
        </w:numPr>
        <w:suppressLineNumbers w:val="0"/>
        <w:spacing w:before="0" w:beforeAutospacing="1" w:after="0" w:afterAutospacing="1"/>
        <w:ind w:left="1440" w:hanging="360"/>
      </w:pPr>
      <w:r>
        <w:t>建议施工单位在后续施工中，严格按材料说明书要求进行施工，避免因不当施工工艺导致污染物累积。</w:t>
      </w:r>
    </w:p>
    <w:p>
      <w:pPr>
        <w:keepNext w:val="0"/>
        <w:keepLines w:val="0"/>
        <w:widowControl/>
        <w:numPr>
          <w:ilvl w:val="1"/>
          <w:numId w:val="1"/>
        </w:numPr>
        <w:suppressLineNumbers w:val="0"/>
        <w:spacing w:before="0" w:beforeAutospacing="1" w:after="0" w:afterAutospacing="1"/>
        <w:ind w:left="1440" w:hanging="360"/>
      </w:pPr>
      <w:r>
        <w:t>所有材料应保留好本报告及供应商提供的原始检测报告，以备工程验收及绿色建筑评审核查。</w:t>
      </w:r>
    </w:p>
    <w:p>
      <w:pPr>
        <w:keepNext w:val="0"/>
        <w:keepLines w:val="0"/>
        <w:widowControl/>
        <w:numPr>
          <w:ilvl w:val="1"/>
          <w:numId w:val="1"/>
        </w:numPr>
        <w:suppressLineNumbers w:val="0"/>
        <w:spacing w:before="0" w:beforeAutospacing="1" w:after="0" w:afterAutospacing="1"/>
        <w:ind w:left="1440" w:hanging="360"/>
      </w:pPr>
      <w:r>
        <w:t>工程竣工后，应按GB 50325规定进行室内环境污染物浓度现场检测，以作最终验收依据。</w:t>
      </w:r>
    </w:p>
    <w:p>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pPr>
        <w:pStyle w:val="4"/>
        <w:keepNext w:val="0"/>
        <w:keepLines w:val="0"/>
        <w:widowControl/>
        <w:suppressLineNumbers w:val="0"/>
      </w:pPr>
      <w:r>
        <w:rPr>
          <w:rStyle w:val="7"/>
        </w:rPr>
        <w:t>（以下无正文）</w:t>
      </w:r>
    </w:p>
    <w:p>
      <w:pPr>
        <w:pStyle w:val="4"/>
        <w:keepNext w:val="0"/>
        <w:keepLines w:val="0"/>
        <w:widowControl/>
        <w:suppressLineNumbers w:val="0"/>
      </w:pPr>
      <w:r>
        <w:rPr>
          <w:rStyle w:val="7"/>
        </w:rPr>
        <w:t>批准：</w:t>
      </w:r>
      <w:r>
        <w:t xml:space="preserve"> ______（授权签字人）</w:t>
      </w:r>
      <w:r>
        <w:br w:type="textWrapping"/>
      </w:r>
      <w:r>
        <w:rPr>
          <w:rStyle w:val="7"/>
        </w:rPr>
        <w:t>审核：</w:t>
      </w:r>
      <w:r>
        <w:t xml:space="preserve"> ______（审核人）</w:t>
      </w:r>
      <w:r>
        <w:br w:type="textWrapping"/>
      </w:r>
      <w:r>
        <w:rPr>
          <w:rStyle w:val="7"/>
        </w:rPr>
        <w:t>检验：</w:t>
      </w:r>
      <w:r>
        <w:t xml:space="preserve"> ______（检验人）</w:t>
      </w:r>
    </w:p>
    <w:p>
      <w:pPr>
        <w:pStyle w:val="4"/>
        <w:keepNext w:val="0"/>
        <w:keepLines w:val="0"/>
        <w:widowControl/>
        <w:suppressLineNumbers w:val="0"/>
      </w:pPr>
      <w:r>
        <w:rPr>
          <w:rStyle w:val="7"/>
        </w:rPr>
        <w:t>检验机构（盖章）：</w:t>
      </w:r>
      <w:r>
        <w:br w:type="textWrapping"/>
      </w:r>
      <w:r>
        <w:rPr>
          <w:rStyle w:val="7"/>
        </w:rPr>
        <w:t>[具备CMA和CNAS资质的第三方检测机构名称]</w:t>
      </w:r>
    </w:p>
    <w:p>
      <w:pPr>
        <w:pStyle w:val="4"/>
        <w:keepNext w:val="0"/>
        <w:keepLines w:val="0"/>
        <w:widowControl/>
        <w:suppressLineNumbers w:val="0"/>
      </w:pPr>
      <w:r>
        <w:rPr>
          <w:rStyle w:val="7"/>
        </w:rPr>
        <w:t>声明：</w:t>
      </w:r>
    </w:p>
    <w:p>
      <w:pPr>
        <w:keepNext w:val="0"/>
        <w:keepLines w:val="0"/>
        <w:widowControl/>
        <w:numPr>
          <w:ilvl w:val="0"/>
          <w:numId w:val="3"/>
        </w:numPr>
        <w:suppressLineNumbers w:val="0"/>
        <w:spacing w:before="0" w:beforeAutospacing="1" w:after="0" w:afterAutospacing="1"/>
        <w:ind w:left="720" w:hanging="360"/>
      </w:pPr>
      <w:r>
        <w:t>本报告无检验机构公章、骑缝章及</w:t>
      </w:r>
      <w:r>
        <w:rPr>
          <w:rStyle w:val="7"/>
        </w:rPr>
        <w:t>CMA、CNAS</w:t>
      </w:r>
      <w:r>
        <w:t>标志章无效。</w:t>
      </w:r>
    </w:p>
    <w:p>
      <w:pPr>
        <w:keepNext w:val="0"/>
        <w:keepLines w:val="0"/>
        <w:widowControl/>
        <w:numPr>
          <w:ilvl w:val="0"/>
          <w:numId w:val="3"/>
        </w:numPr>
        <w:suppressLineNumbers w:val="0"/>
        <w:spacing w:before="0" w:beforeAutospacing="1" w:after="0" w:afterAutospacing="1"/>
        <w:ind w:left="720" w:hanging="360"/>
      </w:pPr>
      <w:r>
        <w:t>本报告部分内容来源于经确认的、在有效期内的供应商型式检验报告。</w:t>
      </w:r>
    </w:p>
    <w:p>
      <w:pPr>
        <w:keepNext w:val="0"/>
        <w:keepLines w:val="0"/>
        <w:widowControl/>
        <w:numPr>
          <w:ilvl w:val="0"/>
          <w:numId w:val="3"/>
        </w:numPr>
        <w:suppressLineNumbers w:val="0"/>
        <w:spacing w:before="0" w:beforeAutospacing="1" w:after="0" w:afterAutospacing="1"/>
        <w:ind w:left="720" w:hanging="360"/>
      </w:pPr>
      <w:r>
        <w:t>本报告仅对来样负责。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8FFFD"/>
    <w:multiLevelType w:val="multilevel"/>
    <w:tmpl w:val="A988FFF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11AE4028"/>
    <w:multiLevelType w:val="multilevel"/>
    <w:tmpl w:val="11AE40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458B43B0"/>
    <w:multiLevelType w:val="multilevel"/>
    <w:tmpl w:val="458B43B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D0BE4"/>
    <w:rsid w:val="23CD0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2026-03-12T12:54:00Z</dcterms:created>
  <dc:creator>半江芦苇</dc:creator>
  <cp:lastModifiedBy>半江芦苇</cp:lastModifiedBy>
  <dcterms:modified xsi:type="dcterms:W3CDTF">2026-03-12T12:54:13Z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