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一、 项目概况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1.1 项目简介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项目名称：</w:t>
      </w:r>
      <w:r>
        <w:t xml:space="preserve"> 筑绿未来（绿色校园建筑项目）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子项工程：</w:t>
      </w:r>
      <w:r>
        <w:t xml:space="preserve"> 办公楼（综合楼）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工程地点：</w:t>
      </w:r>
      <w:r>
        <w:t xml:space="preserve"> 福建省福州市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建设单位：</w:t>
      </w:r>
      <w:r>
        <w:t xml:space="preserve"> xxxx工程建设有限公司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设计单位：</w:t>
      </w:r>
      <w:r>
        <w:t xml:space="preserve"> xxxx建筑设计研究院有限公司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项目规模：</w:t>
      </w:r>
      <w:r>
        <w:t xml:space="preserve"> 根据《冷凝验算计算书》，本项目总建筑面积约2068㎡（地上），建筑层数为地上6层，建筑高度27.0m。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项目特点：</w:t>
      </w:r>
      <w:r>
        <w:t xml:space="preserve"> 本项目定位为绿色、低碳、健康的教育类公共建筑，秉持“被动优先、主动优化、智慧运维”理念，集成光伏发电（BIPV）、高效围护结构、自然采光优化、室内环境调控等多项绿色技术。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1.2 BIM应用总体目标与意义</w:t>
      </w:r>
      <w:r>
        <w:br w:type="textWrapping"/>
      </w:r>
      <w:r>
        <w:t>为高效实现项目的绿色低碳与高舒适度目标，克服传统二维设计在复杂系统集成、性能模拟分析和多专业协同中的局限，本项目在设计阶段全面引入BIM技术。应用目标如下：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可视化协同设计：</w:t>
      </w:r>
      <w:r>
        <w:t xml:space="preserve"> 建立全专业BIM模型，实现建筑、结构、机电、绿建等多专业一体化协同，提前发现并解决“错、漏、碰、缺”问题。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性能模拟前置化：</w:t>
      </w:r>
      <w:r>
        <w:t xml:space="preserve"> 基于BIM模型，无缝对接绿建分析软件（如北京绿建斯维尔系列软件），进行节能、采光、通风、能耗、碳排放等专项模拟，实现性能导向的优化设计。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数字化交付与运维准备：</w:t>
      </w:r>
      <w:r>
        <w:t xml:space="preserve"> 形成包含几何信息与性能属性的竣工BIM模型，为后续的智慧运维、设施管理和低碳运营提供精准的数据基础。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二、 BIM实施组织与协同机制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2.1 BIM组织架构</w:t>
      </w:r>
      <w:r>
        <w:br w:type="textWrapping"/>
      </w:r>
      <w:r>
        <w:t>成立项目级BIM小组，由设计总负责人统筹，下设建筑、结构、机电、绿建（性能分析）等专业BIM负责人，明确各岗位职责与协同流程。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2.2 协同平台与标准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协同平台：</w:t>
      </w:r>
      <w:r>
        <w:t xml:space="preserve"> 采用基于公有云或私有服务器的通用BIM协同管理平台，实现中心模型统一管理、版本控制和实时协同。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实施标准：</w:t>
      </w:r>
      <w:r>
        <w:t xml:space="preserve"> 制定项目《BIM实施导则》，明确模型深度（LOD）、命名规则、拆分原则、色彩体系及交付格式，确保模型质量与数据一致性。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2.3 软硬件配置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2507"/>
        <w:gridCol w:w="1740"/>
        <w:gridCol w:w="1452"/>
        <w:gridCol w:w="1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软件类别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软件名称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应用版本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应用专业/阶段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主要用途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核心建模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Autodesk Revit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建筑、结构、机电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全专业三维模型创建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性能分析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绿建斯维尔BECS/BESI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20250505(PLUS)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绿建、暖通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节能设计、能耗计算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性能分析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绿建斯维尔采光/日照分析软件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最新版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采光、日照模拟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可视化与出图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AutoCAD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全专业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碰撞检查、图纸深化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协同平台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BIM 360 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全生命周期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模型管理与协同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三、 BIM技术应用实施情况（核心应用场景）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3.1 全专业集成建模与协同设计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应用过程：</w:t>
      </w:r>
      <w:r>
        <w:t xml:space="preserve"> 基于统一的轴网与标高，并行创建建筑、结构、给排水、暖通、电气专业BIM模型。通过定期协同会议与平台碰撞检测功能，提前发现并解决了大量管线与结构、建筑构件之间的空间冲突。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成果效益：</w:t>
      </w:r>
      <w:r>
        <w:t xml:space="preserve"> 大幅减少施工阶段的返工，提升了施工图质量，确保了后续光伏系统、空调系统等设备的安装空间。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3.2 基于BIM的绿色建筑性能分析与优化（深度应用）</w:t>
      </w:r>
      <w:r>
        <w:br w:type="textWrapping"/>
      </w:r>
      <w:r>
        <w:t>本项目的BIM应用核心在于驱动绿色性能设计，具体场景如下：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节能设计与能耗模拟：</w:t>
      </w:r>
      <w:r>
        <w:t xml:space="preserve"> 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</w:rPr>
        <w:t>过程：</w:t>
      </w:r>
      <w:r>
        <w:t xml:space="preserve"> 将建筑围护结构（墙体、屋顶、外窗）的BIM模型几何与材质信息，直接导入 </w:t>
      </w:r>
      <w:r>
        <w:rPr>
          <w:rStyle w:val="6"/>
        </w:rPr>
        <w:t>绿建斯维尔BECS2025</w:t>
      </w:r>
      <w:r>
        <w:t xml:space="preserve"> 软件。根据《建筑节能设计报告书》，进行规定性指标检查和性能化权衡计算，确保满足 </w:t>
      </w:r>
      <w:r>
        <w:rPr>
          <w:rStyle w:val="6"/>
        </w:rPr>
        <w:t>夏热冬暖A区公共建筑甲类节能标准</w:t>
      </w:r>
      <w:r>
        <w:t>。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</w:rPr>
        <w:t>成果：</w:t>
      </w:r>
      <w:r>
        <w:t xml:space="preserve"> 生成详尽的节能计算报告，指导优化围护结构热工参数，最终实现综合楼 </w:t>
      </w:r>
      <w:r>
        <w:rPr>
          <w:rStyle w:val="6"/>
        </w:rPr>
        <w:t>52.14%</w:t>
      </w:r>
      <w:r>
        <w:t xml:space="preserve"> 的节能率（据《工程项目说明》）。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建筑采光与日照分析：</w:t>
      </w:r>
      <w:r>
        <w:t xml:space="preserve"> 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</w:rPr>
        <w:t>过程：</w:t>
      </w:r>
      <w:r>
        <w:t xml:space="preserve"> 利用BIM模型，结合《办公楼（综合楼）建筑采光分析报告书》和《动态采光分析报告》，模拟分析各功能房间的自然采光效果（采光系数、照度均匀度）。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</w:rPr>
        <w:t>成果：</w:t>
      </w:r>
      <w:r>
        <w:t xml:space="preserve"> 优化外窗设计与布局，确保主要功能房间采光达标，并结合《总图日照分析报告》，验证建筑日照满足规范要求，为健康室内环境提供数据支持。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光伏系统一体化设计：</w:t>
      </w:r>
      <w:r>
        <w:t xml:space="preserve"> </w:t>
      </w:r>
    </w:p>
    <w:p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</w:rPr>
        <w:t>过程：</w:t>
      </w:r>
      <w:r>
        <w:t xml:space="preserve"> 在建筑BIM模型中精准定位光伏板安装区域（屋顶、幕墙），模型包含光伏板尺寸、倾角、方位角等信息。将此信息传递至《办公楼（综合楼）光伏报告》进行发电量与经济性（IRR）计算。</w:t>
      </w:r>
    </w:p>
    <w:p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</w:rPr>
        <w:t>成果：</w:t>
      </w:r>
      <w:r>
        <w:t xml:space="preserve"> 实现了光伏系统与建筑造型、结构承载的一体化设计，可视化展示BIPV效果，并量化了其 </w:t>
      </w:r>
      <w:r>
        <w:rPr>
          <w:rStyle w:val="6"/>
        </w:rPr>
        <w:t>25年减排CO₂约1062.8吨</w:t>
      </w:r>
      <w:r>
        <w:t xml:space="preserve"> 的环境效益。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全生命周期碳排放核算：</w:t>
      </w:r>
      <w:r>
        <w:t xml:space="preserve"> 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</w:rPr>
        <w:t>过程：</w:t>
      </w:r>
      <w:r>
        <w:t xml:space="preserve"> 基于BIM模型提取的建材工程量（混凝土、钢材等），结合《绿色建筑全生命期碳排放计算报告》中的碳排放因子，核算建材生产、运输阶段的碳足迹。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</w:rPr>
        <w:t>成果：</w:t>
      </w:r>
      <w:r>
        <w:t xml:space="preserve"> 实现了在设计阶段对项目碳排放的量化评估，为项目达成“低碳建筑”目标提供了关键数据支撑。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3.3 专项分析与报告生成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室内环境模拟：</w:t>
      </w:r>
      <w:r>
        <w:t xml:space="preserve"> 基于BIM模型进行室内风环境、声环境（《室内声环境分析报告》）模拟，优化通风路径与降噪设计。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玻璃幕墙光污染分析：</w:t>
      </w:r>
      <w:r>
        <w:t xml:space="preserve"> 利用《玻璃幕墙光污染分析报告》的结论，在BIM模型中调整幕墙分格与材质，避免对周边环境造成眩光干扰。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自动生成计算书：</w:t>
      </w:r>
      <w:r>
        <w:t xml:space="preserve"> 将BIM模型与绿建分析软件深度集成，自动生成《冷凝验算计算书》、《围护结构性能提升报告书》等多项标准化报告，提高设计效率与准确性。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四、 BIM应用成效总结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4.1 综合效益分析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质量与效率提升：</w:t>
      </w:r>
      <w:r>
        <w:t xml:space="preserve"> 通过多专业协同与碰撞检查，预计减少现场变更与返工率达 </w:t>
      </w:r>
      <w:r>
        <w:rPr>
          <w:rStyle w:val="6"/>
        </w:rPr>
        <w:t>30%以上</w:t>
      </w:r>
      <w:r>
        <w:t>。性能模拟前置化使绿色设计决策更科学、更快捷。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成本与工期优化：</w:t>
      </w:r>
      <w:r>
        <w:t xml:space="preserve"> 提前发现并解决设计问题，避免了施工阶段的材料浪费和工期延误。光伏系统等的一体化设计，降低了后期拆改成本。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绿色目标可量化：</w:t>
      </w:r>
      <w:r>
        <w:t xml:space="preserve"> 所有绿色性能指标（节能率、碳排放、采光达标率、发电量）均基于BIM模型数据得出，清晰可追溯，有力支撑了项目绿色标识申报。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数据资产沉淀：</w:t>
      </w:r>
      <w:r>
        <w:t xml:space="preserve"> 形成了富含几何与性能信息的竣工BIM模型，为未来校园的智慧能源管理、设备运维、空间管理提供了宝贵的数字资产。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4.2 创新性与亮点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“BIM+绿建性能模拟”深度融合：</w:t>
      </w:r>
      <w:r>
        <w:t xml:space="preserve"> 实现了从BIM模型到各类绿色性能分析的无缝数据流转，形成了“设计-模拟-优化”的闭环工作流。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数据驱动的低碳设计：</w:t>
      </w:r>
      <w:r>
        <w:t xml:space="preserve"> 将碳排放核算从概念阶段延伸到设计阶段，使低碳目标具象化为可操作的建材选型与构造设计。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为智慧运维奠基：</w:t>
      </w:r>
      <w:r>
        <w:t xml:space="preserve"> 本项目BIM成果不仅服务于设计与施工，其包含的设备信息、性能参数和系统关联性，已初步具备支撑未来智慧运维平台的数据条件。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6"/>
          <w:b/>
        </w:rPr>
        <w:t>五、 挑战与展望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5.1 实施中的挑战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跨软件数据互通：</w:t>
      </w:r>
      <w:r>
        <w:t xml:space="preserve"> BIM建模软件与国产绿建分析软件间的数据接口仍需进一步优化，部分环节仍需手动调整。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复合型人才需求：</w:t>
      </w:r>
      <w:r>
        <w:t xml:space="preserve"> 同时精通BIM技术与绿色建筑原理的复合型设计人才是项目成功的关键，也是行业普遍面临的挑战。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6"/>
        </w:rPr>
        <w:t>5.2 未来展望</w:t>
      </w:r>
      <w:r>
        <w:br w:type="textWrapping"/>
      </w:r>
      <w:r>
        <w:t>建议在后续的施工与运维阶段，进一步拓展BIM应用：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施工阶段：</w:t>
      </w:r>
      <w:r>
        <w:t xml:space="preserve"> 应用BIM进行施工方案模拟、进度管理（4D）与工程量辅助核算（5D）。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运维阶段：</w:t>
      </w:r>
      <w:r>
        <w:t xml:space="preserve"> 将竣工BIM模型与物联网（IoT）传感器数据、能源管理系统（EMS）结合，打造真正的“数字孪生”智慧办公楼，实现能耗实时监控、设备预测性维护和空间优化使用，最终达成项目“智慧运维”的终极目标。</w:t>
      </w:r>
    </w:p>
    <w:p>
      <w:pPr>
        <w:pStyle w:val="2"/>
        <w:keepNext w:val="0"/>
        <w:keepLines w:val="0"/>
        <w:widowControl/>
        <w:numPr>
          <w:ilvl w:val="0"/>
          <w:numId w:val="15"/>
        </w:numPr>
        <w:suppressLineNumbers w:val="0"/>
      </w:pPr>
      <w:r>
        <w:rPr>
          <w:rStyle w:val="6"/>
          <w:b/>
        </w:rPr>
        <w:t>结论</w:t>
      </w:r>
    </w:p>
    <w:p>
      <w:pPr>
        <w:pStyle w:val="3"/>
        <w:keepNext w:val="0"/>
        <w:keepLines w:val="0"/>
        <w:widowControl/>
        <w:suppressLineNumbers w:val="0"/>
      </w:pPr>
      <w:r>
        <w:t>在“筑绿未来”办公楼项目中，BIM技术已超越传统的三维可视化工具，成为整合多专业设计、驱动绿色性能优化、量化低碳目标的核心技术平台。本项目的实践表明，BIM技术是实现复杂绿色公共建筑高品质、高效率设计与数字化交付的必由之路，其成果为同类教育建筑乃至公共建筑的绿色化、数字化建设提供了有价值的参考范例。</w:t>
      </w:r>
    </w:p>
    <w:p/>
    <w:p>
      <w:pPr>
        <w:pStyle w:val="2"/>
        <w:keepNext w:val="0"/>
        <w:keepLines w:val="0"/>
        <w:widowControl/>
        <w:numPr>
          <w:ilvl w:val="0"/>
          <w:numId w:val="15"/>
        </w:numPr>
        <w:suppressLineNumbers w:val="0"/>
        <w:jc w:val="left"/>
        <w:rPr>
          <w:rStyle w:val="6"/>
          <w:rFonts w:hint="eastAsia"/>
          <w:b/>
          <w:sz w:val="21"/>
          <w:szCs w:val="22"/>
          <w:lang w:val="en-US" w:eastAsia="zh-CN"/>
        </w:rPr>
      </w:pPr>
      <w:r>
        <w:rPr>
          <w:rStyle w:val="6"/>
          <w:rFonts w:hint="eastAsia"/>
          <w:b/>
          <w:sz w:val="21"/>
          <w:szCs w:val="22"/>
          <w:lang w:val="en-US" w:eastAsia="zh-CN"/>
        </w:rPr>
        <w:t>示图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jc w:val="left"/>
        <w:outlineLvl w:val="3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59070" cy="2661920"/>
            <wp:effectExtent l="0" t="0" r="8890" b="4445"/>
            <wp:docPr id="1" name="图片 1" descr="QQ_1772005503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_17720055035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5BC17C"/>
    <w:multiLevelType w:val="multilevel"/>
    <w:tmpl w:val="A35BC1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B32F5D7"/>
    <w:multiLevelType w:val="multilevel"/>
    <w:tmpl w:val="EB32F5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C9D6261"/>
    <w:multiLevelType w:val="multilevel"/>
    <w:tmpl w:val="EC9D62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3DEABBA"/>
    <w:multiLevelType w:val="multilevel"/>
    <w:tmpl w:val="03DEAB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04E0AEBB"/>
    <w:multiLevelType w:val="multilevel"/>
    <w:tmpl w:val="04E0AE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19CE8882"/>
    <w:multiLevelType w:val="multilevel"/>
    <w:tmpl w:val="19CE88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1C000696"/>
    <w:multiLevelType w:val="multilevel"/>
    <w:tmpl w:val="1C0006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37B9ABFE"/>
    <w:multiLevelType w:val="multilevel"/>
    <w:tmpl w:val="37B9AB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43D8588E"/>
    <w:multiLevelType w:val="multilevel"/>
    <w:tmpl w:val="43D858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513C509D"/>
    <w:multiLevelType w:val="singleLevel"/>
    <w:tmpl w:val="513C509D"/>
    <w:lvl w:ilvl="0" w:tentative="0">
      <w:start w:val="6"/>
      <w:numFmt w:val="chineseCounting"/>
      <w:suff w:val="space"/>
      <w:lvlText w:val="%1、"/>
      <w:lvlJc w:val="left"/>
      <w:rPr>
        <w:rFonts w:hint="eastAsia"/>
      </w:rPr>
    </w:lvl>
  </w:abstractNum>
  <w:abstractNum w:abstractNumId="10">
    <w:nsid w:val="7B5F244A"/>
    <w:multiLevelType w:val="multilevel"/>
    <w:tmpl w:val="7B5F24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8"/>
  </w:num>
  <w:num w:numId="13">
    <w:abstractNumId w:val="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05121"/>
    <w:rsid w:val="3EC0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2026-02-25T07:41:00Z</dcterms:created>
  <dc:creator>ywf57</dc:creator>
  <cp:lastModifiedBy>ywf57</cp:lastModifiedBy>
  <dcterms:modified xsi:type="dcterms:W3CDTF">2026-02-25T07:47:45Z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