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90" w:name="_GoBack"/>
      <w:bookmarkEnd w:id="90"/>
    </w:p>
    <w:p>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180"/>
      </w:tblGrid>
      <w:tr>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pPr>
              <w:jc w:val="center"/>
              <w:rPr>
                <w:rFonts w:cs="Times New Roman"/>
                <w:b/>
                <w:spacing w:val="45"/>
                <w:sz w:val="30"/>
                <w:szCs w:val="30"/>
              </w:rPr>
            </w:pPr>
            <w:bookmarkStart w:id="1" w:name="_Hlk172625491"/>
          </w:p>
          <w:p>
            <w:pPr>
              <w:jc w:val="center"/>
              <w:rPr>
                <w:rFonts w:cs="Times New Roman"/>
                <w:b/>
                <w:spacing w:val="45"/>
                <w:sz w:val="30"/>
                <w:szCs w:val="30"/>
              </w:rPr>
            </w:pPr>
          </w:p>
          <w:p>
            <w:pPr>
              <w:jc w:val="distribute"/>
              <w:rPr>
                <w:rFonts w:cs="Times New Roman"/>
                <w:b/>
                <w:sz w:val="72"/>
                <w:szCs w:val="52"/>
              </w:rPr>
            </w:pPr>
            <w:r>
              <w:rPr>
                <w:rFonts w:hint="eastAsia" w:cs="Times New Roman"/>
                <w:b/>
                <w:spacing w:val="100"/>
                <w:kern w:val="0"/>
                <w:sz w:val="72"/>
                <w:szCs w:val="52"/>
                <w:fitText w:val="9000" w:id="0"/>
              </w:rPr>
              <w:t>公共建筑内区采光报</w:t>
            </w:r>
            <w:r>
              <w:rPr>
                <w:rFonts w:hint="eastAsia" w:cs="Times New Roman"/>
                <w:b/>
                <w:spacing w:val="0"/>
                <w:kern w:val="0"/>
                <w:sz w:val="72"/>
                <w:szCs w:val="52"/>
                <w:fitText w:val="9000" w:id="0"/>
              </w:rPr>
              <w:t>告</w:t>
            </w:r>
          </w:p>
        </w:tc>
      </w:tr>
      <w:tr>
        <w:tblPrEx>
          <w:tblCellMar>
            <w:top w:w="0" w:type="dxa"/>
            <w:left w:w="108" w:type="dxa"/>
            <w:bottom w:w="0" w:type="dxa"/>
            <w:right w:w="108" w:type="dxa"/>
          </w:tblCellMar>
        </w:tblPrEx>
        <w:trPr>
          <w:jc w:val="center"/>
        </w:trPr>
        <w:tc>
          <w:tcPr>
            <w:tcW w:w="9180" w:type="dxa"/>
            <w:shd w:val="clear" w:color="auto" w:fill="auto"/>
          </w:tcPr>
          <w:p>
            <w:pPr>
              <w:spacing w:before="312" w:beforeLines="100"/>
              <w:jc w:val="center"/>
              <w:rPr>
                <w:rFonts w:cs="Times New Roman"/>
                <w:b/>
                <w:sz w:val="36"/>
                <w:szCs w:val="36"/>
              </w:rPr>
            </w:pPr>
            <w:bookmarkStart w:id="2" w:name="工程名称"/>
            <w:bookmarkEnd w:id="2"/>
          </w:p>
        </w:tc>
      </w:tr>
      <w:tr>
        <w:tblPrEx>
          <w:tblCellMar>
            <w:top w:w="0" w:type="dxa"/>
            <w:left w:w="108" w:type="dxa"/>
            <w:bottom w:w="0" w:type="dxa"/>
            <w:right w:w="108" w:type="dxa"/>
          </w:tblCellMar>
        </w:tblPrEx>
        <w:trPr>
          <w:jc w:val="center"/>
        </w:trPr>
        <w:tc>
          <w:tcPr>
            <w:tcW w:w="9180" w:type="dxa"/>
            <w:shd w:val="clear" w:color="auto" w:fill="auto"/>
          </w:tcPr>
          <w:p>
            <w:pPr>
              <w:spacing w:line="240" w:lineRule="auto"/>
              <w:jc w:val="center"/>
              <w:rPr>
                <w:rFonts w:cs="Times New Roman"/>
                <w:b/>
                <w:sz w:val="32"/>
                <w:szCs w:val="52"/>
              </w:rPr>
            </w:pPr>
            <w:r>
              <w:rPr>
                <w:rFonts w:hint="eastAsia" w:cs="Times New Roman"/>
                <w:b/>
                <w:sz w:val="32"/>
                <w:szCs w:val="52"/>
              </w:rPr>
              <w:t>设计编号：</w:t>
            </w:r>
            <w:bookmarkStart w:id="3" w:name="设计编号"/>
            <w:bookmarkEnd w:id="3"/>
            <w:r>
              <w:rPr>
                <w:rFonts w:hint="eastAsia"/>
                <w:b/>
                <w:sz w:val="32"/>
                <w:szCs w:val="52"/>
              </w:rPr>
              <w:t>BKA80084</w:t>
            </w:r>
          </w:p>
          <w:p>
            <w:pPr>
              <w:jc w:val="center"/>
              <w:rPr>
                <w:rFonts w:cs="Times New Roman"/>
                <w:b/>
                <w:sz w:val="32"/>
                <w:szCs w:val="52"/>
              </w:rPr>
            </w:pPr>
          </w:p>
        </w:tc>
      </w:tr>
      <w:tr>
        <w:tblPrEx>
          <w:tblCellMar>
            <w:top w:w="0" w:type="dxa"/>
            <w:left w:w="108" w:type="dxa"/>
            <w:bottom w:w="0" w:type="dxa"/>
            <w:right w:w="108" w:type="dxa"/>
          </w:tblCellMar>
        </w:tblPrEx>
        <w:trPr>
          <w:jc w:val="center"/>
        </w:trPr>
        <w:tc>
          <w:tcPr>
            <w:tcW w:w="9180" w:type="dxa"/>
            <w:shd w:val="clear" w:color="auto" w:fill="auto"/>
          </w:tcPr>
          <w:p>
            <w:pPr>
              <w:jc w:val="center"/>
              <w:rPr>
                <w:rFonts w:cs="Times New Roman"/>
                <w:b/>
                <w:sz w:val="32"/>
                <w:szCs w:val="52"/>
              </w:rPr>
            </w:pPr>
            <w:bookmarkStart w:id="4" w:name="二维码"/>
          </w:p>
        </w:tc>
      </w:tr>
    </w:tbl>
    <w:p>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rPr>
          <w:rFonts w:cs="Times New Roman"/>
          <w:szCs w:val="18"/>
        </w:rPr>
      </w:pPr>
    </w:p>
    <w:p>
      <w:pPr>
        <w:jc w:val="center"/>
        <w:rPr>
          <w:rFonts w:cs="Times New Roman"/>
          <w:szCs w:val="18"/>
        </w:rPr>
      </w:pPr>
    </w:p>
    <w:bookmarkEnd w:id="1"/>
    <w:p>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5" w:name="项目地点1"/>
            <w:r>
              <w:rPr>
                <w:rFonts w:hint="eastAsia" w:cs="Times New Roman"/>
                <w:sz w:val="24"/>
                <w:szCs w:val="24"/>
              </w:rPr>
              <w:t>福州</w:t>
            </w: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6" w:name="建设单位"/>
            <w:bookmarkEnd w:id="6"/>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7" w:name="设计单位"/>
            <w:bookmarkEnd w:id="7"/>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8" w:name="计算日期"/>
            <w:r>
              <w:rPr>
                <w:rFonts w:hint="eastAsia" w:cs="Times New Roman"/>
                <w:sz w:val="24"/>
                <w:szCs w:val="24"/>
              </w:rPr>
              <w:t>2025年12月9日</w:t>
            </w:r>
            <w:bookmarkEnd w:id="8"/>
          </w:p>
        </w:tc>
      </w:tr>
    </w:tbl>
    <w:p>
      <w:pPr>
        <w:rPr>
          <w:rFonts w:cs="Times New Roman"/>
          <w:szCs w:val="18"/>
        </w:rPr>
      </w:pPr>
    </w:p>
    <w:p>
      <w:pPr>
        <w:rPr>
          <w:rFonts w:cs="Times New Roman"/>
          <w:szCs w:val="18"/>
        </w:rPr>
      </w:pPr>
    </w:p>
    <w:p>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T18859020996</w:t>
            </w:r>
            <w:bookmarkEnd w:id="11"/>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bookmarkEnd w:id="0"/>
    </w:tbl>
    <w:p>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pPr>
        <w:pStyle w:val="19"/>
        <w:tabs>
          <w:tab w:val="clear" w:pos="180"/>
        </w:tabs>
        <w:rPr>
          <w:rFonts w:cs="Times New Roman"/>
          <w:b w:val="0"/>
          <w:bCs w:val="0"/>
          <w:sz w:val="28"/>
          <w:szCs w:val="28"/>
        </w:rPr>
      </w:pPr>
    </w:p>
    <w:p>
      <w:pPr>
        <w:ind w:right="-2"/>
        <w:jc w:val="center"/>
        <w:rPr>
          <w:rFonts w:cs="Times New Roman"/>
          <w:sz w:val="28"/>
          <w:szCs w:val="28"/>
        </w:rPr>
      </w:pPr>
      <w:bookmarkStart w:id="12" w:name="目录"/>
      <w:r>
        <w:rPr>
          <w:rFonts w:hint="eastAsia"/>
          <w:sz w:val="28"/>
          <w:szCs w:val="28"/>
        </w:rPr>
        <w:t>目  录</w:t>
      </w:r>
    </w:p>
    <w:p>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_Toc29167 </w:instrText>
      </w:r>
      <w:r>
        <w:rPr>
          <w:rFonts w:hint="eastAsia"/>
        </w:rPr>
        <w:fldChar w:fldCharType="separate"/>
      </w:r>
      <w:r>
        <w:rPr>
          <w:rFonts w:hint="eastAsia"/>
        </w:rPr>
        <w:t>1. 建筑概况</w:t>
      </w:r>
      <w:r>
        <w:tab/>
      </w:r>
      <w:r>
        <w:fldChar w:fldCharType="begin"/>
      </w:r>
      <w:r>
        <w:instrText xml:space="preserve"> PAGEREF _Toc29167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_Toc28953 </w:instrText>
      </w:r>
      <w:r>
        <w:rPr>
          <w:rFonts w:hint="eastAsia"/>
        </w:rPr>
        <w:fldChar w:fldCharType="separate"/>
      </w:r>
      <w:r>
        <w:rPr>
          <w:rFonts w:hint="eastAsia"/>
        </w:rPr>
        <w:t>2. 设计依据</w:t>
      </w:r>
      <w:r>
        <w:tab/>
      </w:r>
      <w:r>
        <w:fldChar w:fldCharType="begin"/>
      </w:r>
      <w:r>
        <w:instrText xml:space="preserve"> PAGEREF _Toc28953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_Toc19787 </w:instrText>
      </w:r>
      <w:r>
        <w:rPr>
          <w:rFonts w:hint="eastAsia"/>
        </w:rPr>
        <w:fldChar w:fldCharType="separate"/>
      </w:r>
      <w:r>
        <w:rPr>
          <w:rFonts w:hint="eastAsia"/>
        </w:rPr>
        <w:t>3. 分析</w:t>
      </w:r>
      <w:r>
        <w:t>目的</w:t>
      </w:r>
      <w:r>
        <w:tab/>
      </w:r>
      <w:r>
        <w:fldChar w:fldCharType="begin"/>
      </w:r>
      <w:r>
        <w:instrText xml:space="preserve"> PAGEREF _Toc19787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_Toc15566 </w:instrText>
      </w:r>
      <w:r>
        <w:rPr>
          <w:rFonts w:hint="eastAsia"/>
        </w:rPr>
        <w:fldChar w:fldCharType="separate"/>
      </w:r>
      <w:r>
        <w:rPr>
          <w:rFonts w:hint="eastAsia"/>
        </w:rPr>
        <w:t>4. 标准</w:t>
      </w:r>
      <w:r>
        <w:t>要求</w:t>
      </w:r>
      <w:r>
        <w:tab/>
      </w:r>
      <w:r>
        <w:fldChar w:fldCharType="begin"/>
      </w:r>
      <w:r>
        <w:instrText xml:space="preserve"> PAGEREF _Toc15566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_Toc28270 </w:instrText>
      </w:r>
      <w:r>
        <w:rPr>
          <w:rFonts w:hint="eastAsia"/>
        </w:rPr>
        <w:fldChar w:fldCharType="separate"/>
      </w:r>
      <w:r>
        <w:rPr>
          <w:rFonts w:hint="eastAsia"/>
        </w:rPr>
        <w:t>5. 采光分析</w:t>
      </w:r>
      <w:r>
        <w:t>概述</w:t>
      </w:r>
      <w:r>
        <w:tab/>
      </w:r>
      <w:r>
        <w:fldChar w:fldCharType="begin"/>
      </w:r>
      <w:r>
        <w:instrText xml:space="preserve"> PAGEREF _Toc28270 </w:instrText>
      </w:r>
      <w:r>
        <w:fldChar w:fldCharType="separate"/>
      </w:r>
      <w:r>
        <w:t>4</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_Toc29640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_Toc29640 </w:instrText>
      </w:r>
      <w:r>
        <w:fldChar w:fldCharType="separate"/>
      </w:r>
      <w:r>
        <w:t>4</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_Toc1273 </w:instrText>
      </w:r>
      <w:r>
        <w:rPr>
          <w:rFonts w:hint="eastAsia"/>
        </w:rPr>
        <w:fldChar w:fldCharType="separate"/>
      </w:r>
      <w:r>
        <w:rPr>
          <w:rFonts w:hint="eastAsia"/>
          <w:lang w:val="en-GB"/>
        </w:rPr>
        <w:t xml:space="preserve">5.2 </w:t>
      </w:r>
      <w:r>
        <w:t>分析软件</w:t>
      </w:r>
      <w:r>
        <w:tab/>
      </w:r>
      <w:r>
        <w:fldChar w:fldCharType="begin"/>
      </w:r>
      <w:r>
        <w:instrText xml:space="preserve"> PAGEREF _Toc1273 </w:instrText>
      </w:r>
      <w:r>
        <w:fldChar w:fldCharType="separate"/>
      </w:r>
      <w:r>
        <w:t>5</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_Toc24027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_Toc24027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_Toc7493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_Toc7493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_Toc29316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_Toc29316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_Toc9022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_Toc9022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_Toc32478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_Toc32478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_Toc25861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_Toc25861 </w:instrText>
      </w:r>
      <w:r>
        <w:fldChar w:fldCharType="separate"/>
      </w:r>
      <w:r>
        <w:t>6</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_Toc16429 </w:instrText>
      </w:r>
      <w:r>
        <w:rPr>
          <w:rFonts w:hint="eastAsia"/>
        </w:rPr>
        <w:fldChar w:fldCharType="separate"/>
      </w:r>
      <w:r>
        <w:rPr>
          <w:rFonts w:hint="eastAsia"/>
        </w:rPr>
        <w:t>7. 分析统计结果</w:t>
      </w:r>
      <w:r>
        <w:tab/>
      </w:r>
      <w:r>
        <w:fldChar w:fldCharType="begin"/>
      </w:r>
      <w:r>
        <w:instrText xml:space="preserve"> PAGEREF _Toc16429 </w:instrText>
      </w:r>
      <w:r>
        <w:fldChar w:fldCharType="separate"/>
      </w:r>
      <w:r>
        <w:t>6</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_Toc23503 </w:instrText>
      </w:r>
      <w:r>
        <w:rPr>
          <w:rFonts w:hint="eastAsia"/>
        </w:rPr>
        <w:fldChar w:fldCharType="separate"/>
      </w:r>
      <w:r>
        <w:rPr>
          <w:rFonts w:hint="eastAsia"/>
        </w:rPr>
        <w:t>8. 达标率彩图</w:t>
      </w:r>
      <w:r>
        <w:tab/>
      </w:r>
      <w:r>
        <w:fldChar w:fldCharType="begin"/>
      </w:r>
      <w:r>
        <w:instrText xml:space="preserve"> PAGEREF _Toc23503 </w:instrText>
      </w:r>
      <w:r>
        <w:fldChar w:fldCharType="separate"/>
      </w:r>
      <w:r>
        <w:t>7</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_Toc16332 </w:instrText>
      </w:r>
      <w:r>
        <w:rPr>
          <w:rFonts w:hint="eastAsia"/>
        </w:rPr>
        <w:fldChar w:fldCharType="separate"/>
      </w:r>
      <w:r>
        <w:rPr>
          <w:rFonts w:hint="eastAsia"/>
        </w:rPr>
        <w:t>9. 评价结论</w:t>
      </w:r>
      <w:r>
        <w:tab/>
      </w:r>
      <w:r>
        <w:fldChar w:fldCharType="begin"/>
      </w:r>
      <w:r>
        <w:instrText xml:space="preserve"> PAGEREF _Toc16332 </w:instrText>
      </w:r>
      <w:r>
        <w:fldChar w:fldCharType="separate"/>
      </w:r>
      <w:r>
        <w:t>8</w:t>
      </w:r>
      <w:r>
        <w:fldChar w:fldCharType="end"/>
      </w:r>
      <w:r>
        <w:rPr>
          <w:rFonts w:hint="eastAsia"/>
        </w:rPr>
        <w:fldChar w:fldCharType="end"/>
      </w:r>
    </w:p>
    <w:p>
      <w:pPr>
        <w:rPr>
          <w:rFonts w:cs="Times New Roman"/>
          <w:sz w:val="28"/>
          <w:szCs w:val="28"/>
        </w:rPr>
      </w:pPr>
      <w:r>
        <w:rPr>
          <w:rFonts w:hint="eastAsia"/>
        </w:rPr>
        <w:fldChar w:fldCharType="end"/>
      </w:r>
      <w:bookmarkEnd w:id="12"/>
    </w:p>
    <w:p>
      <w:pPr>
        <w:pStyle w:val="3"/>
        <w:tabs>
          <w:tab w:val="left" w:pos="3450"/>
        </w:tabs>
        <w:ind w:firstLine="420"/>
        <w:rPr>
          <w:lang w:val="en-US"/>
        </w:rPr>
      </w:pPr>
    </w:p>
    <w:p>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pPr>
        <w:pStyle w:val="2"/>
      </w:pPr>
      <w:bookmarkStart w:id="13" w:name="_Toc29167"/>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4" w:name="项目地点"/>
            <w:r>
              <w:rPr>
                <w:rFonts w:hint="eastAsia"/>
                <w:lang w:val="en-US"/>
              </w:rPr>
              <w:t>福州</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5" w:name="光气候分区"/>
            <w:r>
              <w:rPr>
                <w:lang w:val="en-US"/>
              </w:rPr>
              <w:t>IV</w:t>
            </w:r>
            <w:bookmarkEnd w:id="15"/>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6" w:name="光气候系数K"/>
            <w:r>
              <w:rPr>
                <w:lang w:val="en-US"/>
              </w:rPr>
              <w:t>1.10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7" w:name="地上建筑面积"/>
            <w:r>
              <w:rPr>
                <w:lang w:val="en-US"/>
              </w:rPr>
              <w:t>392.09</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9" w:name="地上建筑层数"/>
            <w:r>
              <w:rPr>
                <w:lang w:val="en-US"/>
              </w:rPr>
              <w:t>2</w:t>
            </w:r>
            <w:bookmarkEnd w:id="19"/>
            <w:r>
              <w:rPr>
                <w:rFonts w:hint="eastAsia"/>
                <w:lang w:val="en-US"/>
              </w:rPr>
              <w:t xml:space="preserve">          地下 </w:t>
            </w:r>
            <w:bookmarkStart w:id="20" w:name="地下建筑层数"/>
            <w:r>
              <w:rPr>
                <w:lang w:val="en-US"/>
              </w:rPr>
              <w:t>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21" w:name="地上建筑高度"/>
            <w:r>
              <w:rPr>
                <w:lang w:val="en-US"/>
              </w:rPr>
              <w:t>7.50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3" w:name="备注"/>
            <w:bookmarkEnd w:id="23"/>
          </w:p>
        </w:tc>
      </w:tr>
    </w:tbl>
    <w:p>
      <w:pPr>
        <w:jc w:val="center"/>
      </w:pPr>
    </w:p>
    <w:p>
      <w:pPr>
        <w:pStyle w:val="2"/>
      </w:pPr>
      <w:bookmarkStart w:id="24" w:name="_Toc28953"/>
      <w:r>
        <w:rPr>
          <w:rFonts w:hint="eastAsia"/>
        </w:rPr>
        <w:t>设计依据</w:t>
      </w:r>
      <w:bookmarkEnd w:id="24"/>
    </w:p>
    <w:p>
      <w:pPr>
        <w:numPr>
          <w:ilvl w:val="0"/>
          <w:numId w:val="2"/>
        </w:numPr>
        <w:ind w:left="594" w:leftChars="0"/>
        <w:rPr>
          <w:lang w:val="en-US"/>
        </w:rPr>
      </w:pPr>
      <w:bookmarkStart w:id="25" w:name="标准名称_国标"/>
      <w:r>
        <w:rPr>
          <w:rFonts w:hint="eastAsia"/>
          <w:lang w:val="en-US"/>
        </w:rPr>
        <w:t>《绿色建筑评价标准》GB/T 50378-2019（2024年版）</w:t>
      </w:r>
      <w:bookmarkEnd w:id="25"/>
    </w:p>
    <w:p>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pPr>
        <w:numPr>
          <w:ilvl w:val="0"/>
          <w:numId w:val="2"/>
        </w:numPr>
        <w:ind w:left="594" w:leftChars="0"/>
        <w:rPr>
          <w:lang w:val="en-US"/>
        </w:rPr>
      </w:pPr>
      <w:r>
        <w:rPr>
          <w:lang w:val="en-US"/>
        </w:rPr>
        <w:t>《绿色建筑评价标准</w:t>
      </w:r>
      <w:r>
        <w:rPr>
          <w:rFonts w:hint="eastAsia"/>
          <w:lang w:val="en-US"/>
        </w:rPr>
        <w:t>技术细则2019</w:t>
      </w:r>
      <w:r>
        <w:rPr>
          <w:lang w:val="en-US"/>
        </w:rPr>
        <w:t>》</w:t>
      </w:r>
    </w:p>
    <w:p>
      <w:pPr>
        <w:numPr>
          <w:ilvl w:val="0"/>
          <w:numId w:val="2"/>
        </w:numPr>
        <w:ind w:left="594" w:leftChars="0"/>
        <w:rPr>
          <w:lang w:val="en-US"/>
        </w:rPr>
      </w:pPr>
      <w:r>
        <w:rPr>
          <w:lang w:val="en-US"/>
        </w:rPr>
        <w:t>《采光测量方法》GB/T5699-2017</w:t>
      </w:r>
    </w:p>
    <w:p>
      <w:pPr>
        <w:pStyle w:val="3"/>
        <w:ind w:firstLine="420"/>
        <w:rPr>
          <w:rFonts w:ascii="宋体" w:hAnsi="宋体"/>
          <w:lang w:val="en-US"/>
        </w:rPr>
      </w:pPr>
    </w:p>
    <w:p>
      <w:pPr>
        <w:pStyle w:val="2"/>
      </w:pPr>
      <w:bookmarkStart w:id="27" w:name="_Toc19787"/>
      <w:r>
        <w:rPr>
          <w:rFonts w:hint="eastAsia"/>
        </w:rPr>
        <w:t>分析</w:t>
      </w:r>
      <w:r>
        <w:t>目的</w:t>
      </w:r>
      <w:bookmarkEnd w:id="27"/>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bookmarkStart w:id="28" w:name="_Toc15566"/>
      <w:r>
        <w:rPr>
          <w:rFonts w:hint="eastAsia"/>
        </w:rPr>
        <w:t>标准</w:t>
      </w:r>
      <w:r>
        <w:t>要求</w:t>
      </w:r>
      <w:bookmarkEnd w:id="28"/>
    </w:p>
    <w:p>
      <w:pPr>
        <w:numPr>
          <w:ilvl w:val="0"/>
          <w:numId w:val="3"/>
        </w:numPr>
        <w:ind w:left="594" w:leftChars="0"/>
        <w:rPr>
          <w:b/>
        </w:rPr>
      </w:pPr>
      <w:bookmarkStart w:id="29" w:name="标准名称1"/>
      <w:r>
        <w:rPr>
          <w:b/>
        </w:rPr>
        <w:t>《绿色建筑评价标准》GB/T 50378-2019（2024年版）</w:t>
      </w:r>
      <w:bookmarkEnd w:id="29"/>
    </w:p>
    <w:p>
      <w:pPr>
        <w:ind w:firstLine="420" w:firstLineChars="200"/>
      </w:pPr>
      <w:r>
        <w:t>5. 2. 8</w:t>
      </w:r>
      <w:r>
        <w:rPr>
          <w:rFonts w:hint="eastAsia"/>
        </w:rPr>
        <w:t>-2</w:t>
      </w:r>
      <w:r>
        <w:t xml:space="preserve"> </w:t>
      </w:r>
      <w:r>
        <w:rPr>
          <w:rFonts w:hint="eastAsia"/>
        </w:rPr>
        <w:t>公共建筑按下列规则分别评分并累计：</w:t>
      </w:r>
    </w:p>
    <w:p>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r>
        <w:rPr>
          <w:bCs/>
          <w:kern w:val="2"/>
          <w:szCs w:val="18"/>
          <w:lang w:val="en-US"/>
        </w:rPr>
        <w:t>60%</w:t>
      </w:r>
      <w:bookmarkEnd w:id="4"/>
      <w:r>
        <w:rPr>
          <w:rFonts w:hint="eastAsia"/>
          <w:bCs/>
          <w:kern w:val="2"/>
          <w:szCs w:val="18"/>
          <w:lang w:val="en-US"/>
        </w:rPr>
        <w:t>，得4</w:t>
      </w:r>
      <w:bookmarkEnd w:id="5"/>
      <w:r>
        <w:rPr>
          <w:bCs/>
          <w:kern w:val="2"/>
          <w:szCs w:val="18"/>
          <w:lang w:val="en-US"/>
        </w:rPr>
        <w:t xml:space="preserve"> </w:t>
      </w:r>
      <w:r>
        <w:rPr>
          <w:rFonts w:hint="eastAsia"/>
          <w:bCs/>
          <w:kern w:val="2"/>
          <w:szCs w:val="18"/>
          <w:lang w:val="en-US"/>
        </w:rPr>
        <w:t>分；</w:t>
      </w:r>
    </w:p>
    <w:p>
      <w:pPr>
        <w:pStyle w:val="14"/>
        <w:spacing w:line="420" w:lineRule="auto"/>
        <w:ind w:left="-246" w:firstLine="0" w:firstLineChars="0"/>
        <w:rPr>
          <w:b/>
          <w:sz w:val="21"/>
          <w:szCs w:val="21"/>
        </w:rPr>
      </w:pPr>
    </w:p>
    <w:p>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p>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30" w:name="_Toc290209336"/>
      <w:bookmarkStart w:id="31" w:name="_Toc275165382"/>
      <w:bookmarkStart w:id="32" w:name="_Toc264569232"/>
      <w:bookmarkStart w:id="33" w:name="_Toc312399791"/>
      <w:bookmarkStart w:id="34" w:name="_Toc290209312"/>
      <w:bookmarkStart w:id="35" w:name="_Toc264043625"/>
      <w:bookmarkStart w:id="36" w:name="_Toc28270"/>
      <w:bookmarkStart w:id="37" w:name="_Toc290149054"/>
      <w:r>
        <w:rPr>
          <w:rFonts w:hint="eastAsia"/>
        </w:rPr>
        <w:t>采光分析</w:t>
      </w:r>
      <w:r>
        <w:t>概述</w:t>
      </w:r>
      <w:bookmarkEnd w:id="30"/>
      <w:bookmarkEnd w:id="31"/>
      <w:bookmarkEnd w:id="32"/>
      <w:bookmarkEnd w:id="33"/>
      <w:bookmarkEnd w:id="34"/>
      <w:bookmarkEnd w:id="35"/>
      <w:bookmarkEnd w:id="36"/>
      <w:bookmarkEnd w:id="37"/>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29640"/>
      <w:r>
        <w:rPr>
          <w:rFonts w:hint="eastAsia"/>
        </w:rPr>
        <w:t>计算原理</w:t>
      </w:r>
      <w:bookmarkEnd w:id="38"/>
    </w:p>
    <w:p>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9" w:name="_Toc290209341"/>
      <w:bookmarkStart w:id="40" w:name="_Toc264569237"/>
      <w:bookmarkStart w:id="41" w:name="_Toc264043630"/>
      <w:bookmarkStart w:id="42" w:name="_Toc312399796"/>
      <w:bookmarkStart w:id="43" w:name="_Toc290149059"/>
      <w:bookmarkStart w:id="44" w:name="_Toc275165387"/>
      <w:bookmarkStart w:id="45" w:name="_Toc290209317"/>
      <w:bookmarkStart w:id="46" w:name="_Toc1273"/>
      <w:r>
        <w:t>分析软件</w:t>
      </w:r>
      <w:bookmarkEnd w:id="39"/>
      <w:bookmarkEnd w:id="40"/>
      <w:bookmarkEnd w:id="41"/>
      <w:bookmarkEnd w:id="42"/>
      <w:bookmarkEnd w:id="43"/>
      <w:bookmarkEnd w:id="44"/>
      <w:bookmarkEnd w:id="45"/>
      <w:bookmarkEnd w:id="46"/>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bookmarkStart w:id="47" w:name="_Toc24027"/>
      <w:r>
        <w:rPr>
          <w:rFonts w:hint="eastAsia"/>
        </w:rPr>
        <w:t>采光计算</w:t>
      </w:r>
      <w:r>
        <w:t>参数</w:t>
      </w:r>
      <w:r>
        <w:rPr>
          <w:rFonts w:hint="eastAsia"/>
        </w:rPr>
        <w:t>取值</w:t>
      </w:r>
      <w:bookmarkEnd w:id="47"/>
    </w:p>
    <w:p>
      <w:pPr>
        <w:pStyle w:val="4"/>
      </w:pPr>
      <w:bookmarkStart w:id="48" w:name="_Toc290209316"/>
      <w:bookmarkStart w:id="49" w:name="_Toc264043629"/>
      <w:bookmarkStart w:id="50" w:name="_Toc290209340"/>
      <w:bookmarkStart w:id="51" w:name="_Toc312399795"/>
      <w:bookmarkStart w:id="52" w:name="_Toc290149058"/>
      <w:bookmarkStart w:id="53" w:name="_Toc264569236"/>
      <w:bookmarkStart w:id="54" w:name="_Toc275165386"/>
      <w:bookmarkStart w:id="55" w:name="_Toc7493"/>
      <w:r>
        <w:t>模拟</w:t>
      </w:r>
      <w:bookmarkEnd w:id="48"/>
      <w:bookmarkEnd w:id="49"/>
      <w:bookmarkEnd w:id="50"/>
      <w:bookmarkEnd w:id="51"/>
      <w:bookmarkEnd w:id="52"/>
      <w:bookmarkEnd w:id="53"/>
      <w:bookmarkEnd w:id="54"/>
      <w:r>
        <w:rPr>
          <w:rFonts w:hint="eastAsia"/>
        </w:rPr>
        <w:t>分析条件说明</w:t>
      </w:r>
      <w:bookmarkEnd w:id="55"/>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56" w:name="分析面高"/>
      <w:r>
        <w:t>0.75</w:t>
      </w:r>
      <w:bookmarkEnd w:id="56"/>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7" w:name="网格划分小房间面积"/>
            <w:r>
              <w:rPr>
                <w:szCs w:val="18"/>
              </w:rPr>
              <w:t>10</w:t>
            </w:r>
            <w:bookmarkEnd w:id="57"/>
          </w:p>
        </w:tc>
        <w:tc>
          <w:tcPr>
            <w:tcW w:w="3272" w:type="dxa"/>
            <w:shd w:val="clear" w:color="auto" w:fill="auto"/>
            <w:vAlign w:val="center"/>
          </w:tcPr>
          <w:p>
            <w:pPr>
              <w:jc w:val="center"/>
              <w:rPr>
                <w:szCs w:val="18"/>
              </w:rPr>
            </w:pPr>
            <w:bookmarkStart w:id="58" w:name="小房间网格大小"/>
            <w:r>
              <w:rPr>
                <w:szCs w:val="18"/>
              </w:rPr>
              <w:t>0.25</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9" w:name="网格划分房间面积"/>
            <w:r>
              <w:rPr>
                <w:szCs w:val="18"/>
              </w:rPr>
              <w:t>10~100</w:t>
            </w:r>
            <w:bookmarkEnd w:id="59"/>
          </w:p>
        </w:tc>
        <w:tc>
          <w:tcPr>
            <w:tcW w:w="3272" w:type="dxa"/>
            <w:shd w:val="clear" w:color="auto" w:fill="auto"/>
            <w:vAlign w:val="center"/>
          </w:tcPr>
          <w:p>
            <w:pPr>
              <w:jc w:val="center"/>
              <w:rPr>
                <w:szCs w:val="18"/>
              </w:rPr>
            </w:pPr>
            <w:bookmarkStart w:id="60" w:name="网格大小"/>
            <w:r>
              <w:rPr>
                <w:szCs w:val="18"/>
              </w:rPr>
              <w:t>0.50</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1" w:name="网格划分大房间面积"/>
            <w:r>
              <w:rPr>
                <w:szCs w:val="18"/>
              </w:rPr>
              <w:t>100</w:t>
            </w:r>
            <w:bookmarkEnd w:id="61"/>
          </w:p>
        </w:tc>
        <w:tc>
          <w:tcPr>
            <w:tcW w:w="3272" w:type="dxa"/>
            <w:shd w:val="clear" w:color="auto" w:fill="auto"/>
            <w:vAlign w:val="center"/>
          </w:tcPr>
          <w:p>
            <w:pPr>
              <w:jc w:val="center"/>
              <w:rPr>
                <w:szCs w:val="18"/>
              </w:rPr>
            </w:pPr>
            <w:bookmarkStart w:id="62" w:name="大房间网格大小"/>
            <w:r>
              <w:rPr>
                <w:szCs w:val="18"/>
              </w:rPr>
              <w:t>1.00</w:t>
            </w:r>
            <w:bookmarkEnd w:id="62"/>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bookmarkStart w:id="63" w:name="_Toc29316"/>
      <w:r>
        <w:rPr>
          <w:rFonts w:hint="eastAsia"/>
        </w:rPr>
        <w:t>建筑饰面材料参数</w:t>
      </w:r>
      <w:bookmarkEnd w:id="6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pPr>
              <w:jc w:val="center"/>
              <w:rPr>
                <w:szCs w:val="18"/>
              </w:rPr>
            </w:pPr>
            <w:r>
              <w:rPr>
                <w:rFonts w:hint="eastAsia"/>
                <w:szCs w:val="18"/>
              </w:rPr>
              <w:t>部位</w:t>
            </w:r>
          </w:p>
        </w:tc>
        <w:tc>
          <w:tcPr>
            <w:tcW w:w="3277" w:type="dxa"/>
            <w:shd w:val="clear" w:color="auto" w:fill="E6E6E6"/>
            <w:vAlign w:val="center"/>
          </w:tcPr>
          <w:p>
            <w:pPr>
              <w:jc w:val="center"/>
            </w:pPr>
            <w:r>
              <w:rPr>
                <w:rFonts w:hint="eastAsia"/>
              </w:rPr>
              <w:t>反射比材料设计取值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顶棚</w:t>
            </w:r>
          </w:p>
        </w:tc>
        <w:tc>
          <w:tcPr>
            <w:tcW w:w="3277" w:type="dxa"/>
            <w:shd w:val="clear" w:color="auto" w:fill="auto"/>
            <w:vAlign w:val="center"/>
          </w:tcPr>
          <w:p>
            <w:pPr>
              <w:jc w:val="center"/>
            </w:pPr>
            <w:bookmarkStart w:id="64" w:name="顶棚反射比"/>
            <w:r>
              <w:t>0.75</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地面</w:t>
            </w:r>
          </w:p>
        </w:tc>
        <w:tc>
          <w:tcPr>
            <w:tcW w:w="3277" w:type="dxa"/>
            <w:shd w:val="clear" w:color="auto" w:fill="auto"/>
            <w:vAlign w:val="center"/>
          </w:tcPr>
          <w:p>
            <w:pPr>
              <w:jc w:val="center"/>
            </w:pPr>
            <w:bookmarkStart w:id="65" w:name="地面反射比"/>
            <w:r>
              <w:t>0.30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墙面</w:t>
            </w:r>
          </w:p>
        </w:tc>
        <w:tc>
          <w:tcPr>
            <w:tcW w:w="3277" w:type="dxa"/>
            <w:shd w:val="clear" w:color="auto" w:fill="auto"/>
            <w:vAlign w:val="center"/>
          </w:tcPr>
          <w:p>
            <w:pPr>
              <w:jc w:val="center"/>
            </w:pPr>
            <w:bookmarkStart w:id="66" w:name="墙面反射比"/>
            <w:r>
              <w:t>0.60</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外表面</w:t>
            </w:r>
          </w:p>
        </w:tc>
        <w:tc>
          <w:tcPr>
            <w:tcW w:w="3277" w:type="dxa"/>
            <w:shd w:val="clear" w:color="auto" w:fill="auto"/>
            <w:vAlign w:val="center"/>
          </w:tcPr>
          <w:p>
            <w:pPr>
              <w:jc w:val="center"/>
            </w:pPr>
            <w:bookmarkStart w:id="67" w:name="外表面反射比"/>
            <w:r>
              <w:t>0.30</w:t>
            </w:r>
            <w:bookmarkEnd w:id="67"/>
          </w:p>
        </w:tc>
      </w:tr>
    </w:tbl>
    <w:p>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pPr>
        <w:pStyle w:val="4"/>
      </w:pPr>
      <w:bookmarkStart w:id="68" w:name="_Toc422822724"/>
      <w:bookmarkStart w:id="69" w:name="_Toc9022"/>
      <w:r>
        <w:rPr>
          <w:rFonts w:hint="eastAsia"/>
        </w:rPr>
        <w:t>门窗类型参数</w:t>
      </w:r>
      <w:bookmarkEnd w:id="68"/>
      <w:bookmarkEnd w:id="69"/>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70" w:name="_Toc32478"/>
      <w:bookmarkStart w:id="71" w:name="窗"/>
      <w:r>
        <w:t>普通</w:t>
      </w:r>
      <w:r>
        <w:rPr>
          <w:rFonts w:hint="eastAsia"/>
        </w:rPr>
        <w:t>窗</w:t>
      </w:r>
      <w:bookmarkEnd w:id="70"/>
    </w:p>
    <w:bookmarkEnd w:id="7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72" w:name="_Toc422822726"/>
      <w:bookmarkStart w:id="73" w:name="_Toc25861"/>
      <w:bookmarkStart w:id="74" w:name="幕墙"/>
      <w:r>
        <w:rPr>
          <w:rFonts w:hint="eastAsia"/>
        </w:rPr>
        <w:t>玻璃幕墙</w:t>
      </w:r>
      <w:bookmarkEnd w:id="72"/>
      <w:bookmarkEnd w:id="73"/>
    </w:p>
    <w:bookmarkEnd w:id="7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3303</w:t>
            </w:r>
          </w:p>
        </w:tc>
        <w:tc>
          <w:tcPr>
            <w:vAlign w:val="center"/>
          </w:tcPr>
          <w:p>
            <w:pPr>
              <w:jc w:val="center"/>
              <w:rPr>
                <w:sz w:val="18"/>
                <w:szCs w:val="18"/>
              </w:rPr>
            </w:pPr>
            <w:r>
              <w:rPr>
                <w:sz w:val="18"/>
                <w:szCs w:val="18"/>
              </w:rPr>
              <w:t>4000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5" w:name="窗污染折减系数"/>
      <w:bookmarkEnd w:id="75"/>
    </w:p>
    <w:p>
      <w:pPr>
        <w:pStyle w:val="2"/>
      </w:pPr>
      <w:bookmarkStart w:id="76" w:name="_Toc16429"/>
      <w:bookmarkStart w:id="77" w:name="_Toc422822729"/>
      <w:r>
        <w:rPr>
          <w:rFonts w:hint="eastAsia"/>
        </w:rPr>
        <w:t>分析统计结果</w:t>
      </w:r>
      <w:bookmarkEnd w:id="76"/>
      <w:bookmarkEnd w:id="77"/>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15.90</w:t>
            </w:r>
          </w:p>
        </w:tc>
        <w:tc>
          <w:tcPr>
            <w:gridSpan w:val="2"/>
            <w:vAlign w:val="center"/>
          </w:tcPr>
          <w:p>
            <w:pPr>
              <w:jc w:val="center"/>
              <w:rPr>
                <w:sz w:val="18"/>
                <w:szCs w:val="18"/>
              </w:rPr>
            </w:pPr>
            <w:r>
              <w:rPr>
                <w:sz w:val="18"/>
                <w:szCs w:val="18"/>
              </w:rPr>
              <w:t>15.90</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1002[大厅]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6.91</w:t>
            </w:r>
          </w:p>
        </w:tc>
        <w:tc>
          <w:tcPr>
            <w:gridSpan w:val="2"/>
            <w:vAlign w:val="center"/>
          </w:tcPr>
          <w:p>
            <w:pPr>
              <w:jc w:val="center"/>
              <w:rPr>
                <w:sz w:val="18"/>
                <w:szCs w:val="18"/>
              </w:rPr>
            </w:pPr>
            <w:r>
              <w:rPr>
                <w:sz w:val="18"/>
                <w:szCs w:val="18"/>
              </w:rPr>
              <w:t>6.91</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6.91</w:t>
            </w:r>
          </w:p>
        </w:tc>
        <w:tc>
          <w:tcPr>
            <w:gridSpan w:val="2"/>
            <w:vAlign w:val="center"/>
          </w:tcPr>
          <w:p>
            <w:pPr>
              <w:jc w:val="center"/>
              <w:rPr>
                <w:sz w:val="18"/>
                <w:szCs w:val="18"/>
              </w:rPr>
            </w:pPr>
            <w:r>
              <w:rPr>
                <w:sz w:val="18"/>
                <w:szCs w:val="18"/>
              </w:rPr>
              <w:t>6.91</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2001[办公室]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3.30</w:t>
            </w:r>
          </w:p>
        </w:tc>
        <w:tc>
          <w:tcPr>
            <w:gridSpan w:val="2"/>
            <w:vAlign w:val="center"/>
          </w:tcPr>
          <w:p>
            <w:pPr>
              <w:jc w:val="center"/>
              <w:rPr>
                <w:sz w:val="18"/>
                <w:szCs w:val="18"/>
              </w:rPr>
            </w:pPr>
            <w:r>
              <w:rPr>
                <w:sz w:val="18"/>
                <w:szCs w:val="18"/>
              </w:rPr>
              <w:t>15.90</w:t>
            </w:r>
          </w:p>
        </w:tc>
        <w:tc>
          <w:tcPr>
            <w:gridSpan w:val="2"/>
            <w:vAlign w:val="center"/>
          </w:tcPr>
          <w:p>
            <w:pPr>
              <w:jc w:val="center"/>
              <w:rPr>
                <w:sz w:val="18"/>
                <w:szCs w:val="18"/>
              </w:rPr>
            </w:pPr>
            <w:r>
              <w:rPr>
                <w:sz w:val="18"/>
                <w:szCs w:val="18"/>
              </w:rPr>
              <w:t>15.90</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登录厅</w:t>
            </w:r>
          </w:p>
        </w:tc>
        <w:tc>
          <w:tcPr>
            <w:gridSpan w:val="2"/>
            <w:vAlign w:val="center"/>
          </w:tcPr>
          <w:p>
            <w:pPr>
              <w:jc w:val="center"/>
            </w:pPr>
            <w:r>
              <w:t>侧面</w:t>
            </w:r>
          </w:p>
        </w:tc>
        <w:tc>
          <w:tcPr>
            <w:gridSpan w:val="2"/>
            <w:vAlign w:val="center"/>
          </w:tcPr>
          <w:p>
            <w:pPr>
              <w:jc w:val="center"/>
            </w:pPr>
            <w:r>
              <w:t>2.20</w:t>
            </w:r>
          </w:p>
        </w:tc>
        <w:tc>
          <w:tcPr>
            <w:gridSpan w:val="3"/>
            <w:vAlign w:val="center"/>
          </w:tcPr>
          <w:p>
            <w:pPr>
              <w:jc w:val="center"/>
            </w:pPr>
            <w:r>
              <w:t>300</w:t>
            </w:r>
          </w:p>
        </w:tc>
        <w:tc>
          <w:tcPr>
            <w:gridSpan w:val="2"/>
            <w:vAlign w:val="center"/>
          </w:tcPr>
          <w:p>
            <w:pPr>
              <w:jc w:val="center"/>
            </w:pPr>
            <w:r>
              <w:t>22.81</w:t>
            </w:r>
          </w:p>
        </w:tc>
        <w:tc>
          <w:tcPr>
            <w:gridSpan w:val="2"/>
            <w:vAlign w:val="center"/>
          </w:tcPr>
          <w:p>
            <w:pPr>
              <w:jc w:val="center"/>
            </w:pPr>
            <w:r>
              <w:t>22.81</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会议室</w:t>
            </w:r>
          </w:p>
        </w:tc>
        <w:tc>
          <w:tcPr>
            <w:gridSpan w:val="2"/>
            <w:vAlign w:val="center"/>
          </w:tcPr>
          <w:p>
            <w:pPr>
              <w:jc w:val="center"/>
            </w:pPr>
            <w:r>
              <w:t>侧面</w:t>
            </w:r>
          </w:p>
        </w:tc>
        <w:tc>
          <w:tcPr>
            <w:gridSpan w:val="2"/>
            <w:vAlign w:val="center"/>
          </w:tcPr>
          <w:p>
            <w:pPr>
              <w:jc w:val="center"/>
            </w:pPr>
            <w:r>
              <w:t>3.30</w:t>
            </w:r>
          </w:p>
        </w:tc>
        <w:tc>
          <w:tcPr>
            <w:gridSpan w:val="3"/>
            <w:vAlign w:val="center"/>
          </w:tcPr>
          <w:p>
            <w:pPr>
              <w:jc w:val="center"/>
            </w:pPr>
            <w:r>
              <w:t>450</w:t>
            </w:r>
          </w:p>
        </w:tc>
        <w:tc>
          <w:tcPr>
            <w:gridSpan w:val="2"/>
            <w:vAlign w:val="center"/>
          </w:tcPr>
          <w:p>
            <w:pPr>
              <w:jc w:val="center"/>
            </w:pPr>
            <w:r>
              <w:t>6.91</w:t>
            </w:r>
          </w:p>
        </w:tc>
        <w:tc>
          <w:tcPr>
            <w:gridSpan w:val="2"/>
            <w:vAlign w:val="center"/>
          </w:tcPr>
          <w:p>
            <w:pPr>
              <w:jc w:val="center"/>
            </w:pPr>
            <w:r>
              <w:t>6.91</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办公室</w:t>
            </w:r>
          </w:p>
        </w:tc>
        <w:tc>
          <w:tcPr>
            <w:gridSpan w:val="2"/>
            <w:vAlign w:val="center"/>
          </w:tcPr>
          <w:p>
            <w:pPr>
              <w:jc w:val="center"/>
            </w:pPr>
            <w:r>
              <w:t>侧面</w:t>
            </w:r>
          </w:p>
        </w:tc>
        <w:tc>
          <w:tcPr>
            <w:gridSpan w:val="2"/>
            <w:vAlign w:val="center"/>
          </w:tcPr>
          <w:p>
            <w:pPr>
              <w:jc w:val="center"/>
            </w:pPr>
            <w:r>
              <w:t>3.30</w:t>
            </w:r>
          </w:p>
        </w:tc>
        <w:tc>
          <w:tcPr>
            <w:gridSpan w:val="3"/>
            <w:vAlign w:val="center"/>
          </w:tcPr>
          <w:p>
            <w:pPr>
              <w:jc w:val="center"/>
            </w:pPr>
            <w:r>
              <w:t>450</w:t>
            </w:r>
          </w:p>
        </w:tc>
        <w:tc>
          <w:tcPr>
            <w:gridSpan w:val="2"/>
            <w:vAlign w:val="center"/>
          </w:tcPr>
          <w:p>
            <w:pPr>
              <w:jc w:val="center"/>
            </w:pPr>
            <w:r>
              <w:t>15.90</w:t>
            </w:r>
          </w:p>
        </w:tc>
        <w:tc>
          <w:tcPr>
            <w:gridSpan w:val="2"/>
            <w:vAlign w:val="center"/>
          </w:tcPr>
          <w:p>
            <w:pPr>
              <w:jc w:val="center"/>
            </w:pPr>
            <w:r>
              <w:t>15.90</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总计达标面积比例(%)</w:t>
            </w:r>
          </w:p>
        </w:tc>
        <w:tc>
          <w:tcPr>
            <w:gridSpan w:val="7"/>
            <w:vAlign w:val="center"/>
          </w:tcPr>
          <w:p>
            <w:pPr>
              <w:jc w:val="center"/>
            </w:pPr>
            <w:r>
              <w:t>100</w:t>
            </w:r>
          </w:p>
        </w:tc>
      </w:tr>
    </w:tbl>
    <w:p>
      <w:pPr>
        <w:pStyle w:val="3"/>
        <w:ind w:firstLine="0" w:firstLineChars="0"/>
        <w:rPr>
          <w:rFonts w:ascii="宋体" w:hAnsi="宋体"/>
          <w:sz w:val="18"/>
          <w:szCs w:val="18"/>
          <w:lang w:val="en-US"/>
        </w:rPr>
      </w:pPr>
      <w:bookmarkStart w:id="78" w:name="达标率表格"/>
      <w:bookmarkEnd w:id="78"/>
    </w:p>
    <w:p>
      <w:pPr>
        <w:pStyle w:val="2"/>
      </w:pPr>
      <w:bookmarkStart w:id="79" w:name="_Toc422822730"/>
      <w:bookmarkStart w:id="80" w:name="_Toc23503"/>
      <w:r>
        <w:rPr>
          <w:rFonts w:hint="eastAsia"/>
        </w:rPr>
        <w:t>达标率彩图</w:t>
      </w:r>
      <w:bookmarkEnd w:id="79"/>
      <w:bookmarkEnd w:id="80"/>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81" w:name="达标图"/>
      <w:bookmarkEnd w:id="81"/>
    </w:p>
    <w:p>
      <w:pPr>
        <w:jc w:val="center"/>
        <w:rPr>
          <w:sz w:val="18"/>
          <w:lang w:val="en-US"/>
        </w:rPr>
      </w:pPr>
      <w:r>
        <w:drawing>
          <wp:inline distT="0" distB="0" distL="0" distR="0">
            <wp:extent cx="5667375" cy="4572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572000"/>
                    </a:xfrm>
                    <a:prstGeom prst="rect">
                      <a:avLst/>
                    </a:prstGeom>
                  </pic:spPr>
                </pic:pic>
              </a:graphicData>
            </a:graphic>
          </wp:inline>
        </w:drawing>
      </w:r>
    </w:p>
    <w:p>
      <w:pPr>
        <w:jc w:val="center"/>
        <w:rPr>
          <w:sz w:val="18"/>
          <w:lang w:val="en-US"/>
        </w:rPr>
      </w:pPr>
      <w:r>
        <w:rPr>
          <w:sz w:val="18"/>
          <w:lang w:val="en-US"/>
        </w:rPr>
        <w:t>1层</w:t>
      </w:r>
    </w:p>
    <w:p>
      <w:pPr>
        <w:jc w:val="center"/>
        <w:rPr>
          <w:sz w:val="18"/>
          <w:lang w:val="en-US"/>
        </w:rPr>
      </w:pPr>
      <w:r>
        <w:drawing>
          <wp:inline distT="0" distB="0" distL="0" distR="0">
            <wp:extent cx="5667375" cy="4381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4381500"/>
                    </a:xfrm>
                    <a:prstGeom prst="rect">
                      <a:avLst/>
                    </a:prstGeom>
                  </pic:spPr>
                </pic:pic>
              </a:graphicData>
            </a:graphic>
          </wp:inline>
        </w:drawing>
      </w:r>
    </w:p>
    <w:p>
      <w:pPr>
        <w:jc w:val="center"/>
        <w:rPr>
          <w:sz w:val="18"/>
          <w:lang w:val="en-US"/>
        </w:rPr>
      </w:pPr>
      <w:r>
        <w:rPr>
          <w:sz w:val="18"/>
          <w:lang w:val="en-US"/>
        </w:rPr>
        <w:t>2层</w:t>
      </w:r>
    </w:p>
    <w:p>
      <w:pPr>
        <w:jc w:val="center"/>
        <w:rPr>
          <w:sz w:val="18"/>
          <w:lang w:val="en-US"/>
        </w:rPr>
      </w:pPr>
    </w:p>
    <w:p>
      <w:pPr>
        <w:pStyle w:val="2"/>
      </w:pPr>
      <w:bookmarkStart w:id="82" w:name="_Toc422822731"/>
      <w:bookmarkStart w:id="83" w:name="_Toc16332"/>
      <w:r>
        <w:rPr>
          <w:rFonts w:hint="eastAsia"/>
        </w:rPr>
        <w:t>评价结论</w:t>
      </w:r>
      <w:bookmarkEnd w:id="82"/>
      <w:bookmarkEnd w:id="83"/>
    </w:p>
    <w:p>
      <w:pPr>
        <w:ind w:firstLine="420" w:firstLineChars="200"/>
      </w:pPr>
      <w:r>
        <w:t>根据</w:t>
      </w:r>
      <w:bookmarkStart w:id="84" w:name="标准名称4"/>
      <w:r>
        <w:t>《绿色建筑评价标准》GB/T 50378-2019（2024年版）</w:t>
      </w:r>
      <w:bookmarkEnd w:id="84"/>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85" w:name="采光面积"/>
            <w:r>
              <w:rPr>
                <w:rFonts w:hint="eastAsia"/>
              </w:rPr>
              <w:t>45.61</w:t>
            </w:r>
            <w:bookmarkEnd w:id="85"/>
          </w:p>
        </w:tc>
        <w:tc>
          <w:tcPr>
            <w:tcW w:w="2408" w:type="dxa"/>
            <w:vAlign w:val="center"/>
          </w:tcPr>
          <w:p>
            <w:pPr>
              <w:jc w:val="center"/>
            </w:pPr>
            <w:bookmarkStart w:id="86" w:name="达标面积"/>
            <w:r>
              <w:rPr>
                <w:rFonts w:hint="eastAsia"/>
              </w:rPr>
              <w:t>45.61</w:t>
            </w:r>
            <w:bookmarkEnd w:id="86"/>
          </w:p>
        </w:tc>
        <w:tc>
          <w:tcPr>
            <w:tcW w:w="2270" w:type="dxa"/>
            <w:vAlign w:val="center"/>
          </w:tcPr>
          <w:p>
            <w:pPr>
              <w:jc w:val="center"/>
            </w:pPr>
            <w:bookmarkStart w:id="87" w:name="达标率"/>
            <w:r>
              <w:rPr>
                <w:rFonts w:hint="eastAsia"/>
              </w:rPr>
              <w:t>100</w:t>
            </w:r>
            <w:bookmarkEnd w:id="87"/>
          </w:p>
        </w:tc>
        <w:tc>
          <w:tcPr>
            <w:tcW w:w="1805" w:type="dxa"/>
            <w:vAlign w:val="center"/>
          </w:tcPr>
          <w:p>
            <w:pPr>
              <w:jc w:val="center"/>
            </w:pPr>
            <w:bookmarkStart w:id="88" w:name="达标率得分"/>
            <w:r>
              <w:rPr>
                <w:rFonts w:hint="eastAsia"/>
              </w:rPr>
              <w:t>4</w:t>
            </w:r>
            <w:bookmarkEnd w:id="88"/>
          </w:p>
        </w:tc>
      </w:tr>
    </w:tbl>
    <w:p>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89" w:name="总平面图"/>
      <w:bookmarkEnd w:id="89"/>
    </w:p>
    <w:p/>
    <w:p>
      <w:pPr>
        <w:pStyle w:val="3"/>
        <w:ind w:firstLine="0" w:firstLineChars="0"/>
        <w:rPr>
          <w:lang w:val="en-US"/>
        </w:rPr>
      </w:pPr>
      <w:r>
        <w:drawing>
          <wp:inline distT="0" distB="0" distL="0" distR="0">
            <wp:extent cx="5667375" cy="50292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667375" cy="5029200"/>
                    </a:xfrm>
                    <a:prstGeom prst="rect">
                      <a:avLst/>
                    </a:prstGeom>
                    <a:noFill/>
                    <a:ln>
                      <a:noFill/>
                    </a:ln>
                  </pic:spPr>
                </pic:pic>
              </a:graphicData>
            </a:graphic>
          </wp:inline>
        </w:drawing>
      </w: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1B8B5B4B"/>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1B8B5B4B"/>
    <w:rsid w:val="20BE3B7B"/>
    <w:rsid w:val="58401B34"/>
    <w:rsid w:val="71883A8F"/>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tmp7.dotx</Template>
  <Pages>9</Pages>
  <Words>2772</Words>
  <Characters>3416</Characters>
  <Lines>30</Lines>
  <Paragraphs>8</Paragraphs>
  <TotalTime>0</TotalTime>
  <ScaleCrop>false</ScaleCrop>
  <LinksUpToDate>false</LinksUpToDate>
  <CharactersWithSpaces>3511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2025-12-09T12:52:00Z</dcterms:created>
  <dc:creator>树叶世界</dc:creator>
  <cp:lastModifiedBy>树叶世界</cp:lastModifiedBy>
  <dcterms:modified xsi:type="dcterms:W3CDTF">2025-12-30T11:26:19Z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F5BD223BA6A84DACBFD77C7811FFD9E4_12</vt:lpwstr>
  </property>
</Properties>
</file>