
<file path=[Content_Types].xml><?xml version="1.0" encoding="utf-8"?>
<Types xmlns="http://schemas.openxmlformats.org/package/2006/content-types">
  <Default Extension="xml" ContentType="application/xml"/>
  <Default Extension="jpeg" ContentType="image/jpeg"/>
  <Default Extension="bmp" ContentType="image/bmp"/>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HAnsi" w:hAnsiTheme="minorHAnsi" w:eastAsiaTheme="minorEastAsia"/>
          <w:szCs w:val="22"/>
          <w:lang w:val="en-US"/>
        </w:rPr>
      </w:pPr>
      <w:r>
        <w:tab/>
      </w:r>
      <w:bookmarkStart w:id="0" w:name="_Hlk172641977"/>
      <w:bookmarkStart w:id="1" w:name="_Hlk172625514"/>
    </w:p>
    <w:tbl>
      <w:tblPr>
        <w:tblStyle w:val="2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pPr>
              <w:spacing w:line="360" w:lineRule="exact"/>
              <w:jc w:val="center"/>
              <w:rPr>
                <w:rFonts w:hint="eastAsia"/>
                <w:b/>
                <w:spacing w:val="45"/>
                <w:sz w:val="30"/>
                <w:szCs w:val="30"/>
              </w:rPr>
            </w:pPr>
            <w:bookmarkStart w:id="2" w:name="_Hlk172625491"/>
          </w:p>
          <w:p>
            <w:pPr>
              <w:spacing w:line="240" w:lineRule="auto"/>
              <w:jc w:val="center"/>
              <w:rPr>
                <w:rFonts w:hint="eastAsia"/>
                <w:b/>
                <w:spacing w:val="45"/>
                <w:sz w:val="30"/>
                <w:szCs w:val="30"/>
              </w:rPr>
            </w:pPr>
          </w:p>
          <w:p>
            <w:pPr>
              <w:spacing w:before="156" w:beforeLines="50" w:line="240" w:lineRule="auto"/>
              <w:jc w:val="distribute"/>
              <w:rPr>
                <w:rFonts w:hint="eastAsia"/>
                <w:b/>
                <w:sz w:val="72"/>
                <w:szCs w:val="52"/>
              </w:rPr>
            </w:pPr>
            <w:r>
              <w:rPr>
                <w:rFonts w:hint="eastAsia"/>
                <w:b/>
                <w:spacing w:val="54"/>
                <w:kern w:val="0"/>
                <w:sz w:val="72"/>
                <w:szCs w:val="52"/>
                <w:fitText w:val="9000" w:id="0"/>
              </w:rPr>
              <w:t>公共建筑动态采光计算</w:t>
            </w:r>
            <w:r>
              <w:rPr>
                <w:rFonts w:hint="eastAsia"/>
                <w:b/>
                <w:spacing w:val="0"/>
                <w:kern w:val="0"/>
                <w:sz w:val="72"/>
                <w:szCs w:val="52"/>
                <w:fitText w:val="9000" w:id="0"/>
              </w:rPr>
              <w:t>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pPr>
              <w:spacing w:before="312" w:beforeLines="100" w:line="240" w:lineRule="auto"/>
              <w:jc w:val="center"/>
              <w:rPr>
                <w:rFonts w:hint="eastAsia"/>
                <w:b/>
                <w:sz w:val="36"/>
                <w:szCs w:val="36"/>
              </w:rPr>
            </w:pPr>
            <w:bookmarkStart w:id="3" w:name="工程名称"/>
            <w:bookmarkEnd w:id="3"/>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pPr>
              <w:spacing w:line="240" w:lineRule="auto"/>
              <w:jc w:val="center"/>
              <w:rPr>
                <w:rFonts w:hint="eastAsia"/>
                <w:b/>
                <w:sz w:val="32"/>
                <w:szCs w:val="52"/>
              </w:rPr>
            </w:pPr>
            <w:r>
              <w:rPr>
                <w:rFonts w:hint="eastAsia"/>
                <w:b/>
                <w:sz w:val="32"/>
                <w:szCs w:val="52"/>
              </w:rPr>
              <w:t>设计编号：</w:t>
            </w:r>
            <w:bookmarkStart w:id="4" w:name="设计编号"/>
            <w:bookmarkEnd w:id="4"/>
            <w:r>
              <w:rPr>
                <w:rFonts w:hint="eastAsia"/>
                <w:b/>
                <w:sz w:val="32"/>
                <w:szCs w:val="52"/>
              </w:rPr>
              <w:t>BKA80084</w:t>
            </w:r>
            <w:bookmarkStart w:id="97" w:name="_GoBack"/>
            <w:bookmarkEnd w:id="97"/>
          </w:p>
          <w:p>
            <w:pPr>
              <w:spacing w:line="240" w:lineRule="auto"/>
              <w:rPr>
                <w:rFonts w:hint="eastAsia"/>
                <w:b/>
                <w:sz w:val="32"/>
                <w:szCs w:val="5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8312" w:type="dxa"/>
          </w:tcPr>
          <w:p>
            <w:pPr>
              <w:spacing w:line="240" w:lineRule="auto"/>
              <w:jc w:val="center"/>
              <w:rPr>
                <w:rFonts w:hint="eastAsia"/>
              </w:rPr>
            </w:pPr>
            <w:bookmarkStart w:id="5" w:name="二维码"/>
            <w:bookmarkEnd w:id="5"/>
          </w:p>
        </w:tc>
      </w:tr>
    </w:tbl>
    <w:p>
      <w:pPr>
        <w:jc w:val="center"/>
        <w:rPr>
          <w:rFonts w:hint="eastAsia"/>
        </w:rPr>
      </w:pPr>
      <w:r>
        <w:drawing>
          <wp:inline distT="0" distB="0" distL="0" distR="0">
            <wp:extent cx="1085850" cy="108585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8"/>
                    <a:stretch>
                      <a:fillRect/>
                    </a:stretch>
                  </pic:blipFill>
                  <pic:spPr>
                    <a:xfrm>
                      <a:off x="0" y="0"/>
                      <a:ext cx="1085964" cy="1085964"/>
                    </a:xfrm>
                    <a:prstGeom prst="rect">
                      <a:avLst/>
                    </a:prstGeom>
                  </pic:spPr>
                </pic:pic>
              </a:graphicData>
            </a:graphic>
          </wp:inline>
        </w:drawing>
      </w:r>
    </w:p>
    <w:p>
      <w:pPr>
        <w:jc w:val="center"/>
        <w:rPr>
          <w:rFonts w:hint="eastAsia"/>
        </w:rPr>
      </w:pPr>
    </w:p>
    <w:p>
      <w:pPr>
        <w:jc w:val="center"/>
        <w:rPr>
          <w:rFonts w:hint="eastAsia"/>
        </w:rPr>
      </w:pPr>
    </w:p>
    <w:bookmarkEnd w:id="2"/>
    <w:p>
      <w:pPr>
        <w:rPr>
          <w:rFonts w:hint="eastAsia"/>
        </w:rPr>
      </w:pPr>
    </w:p>
    <w:tbl>
      <w:tblPr>
        <w:tblStyle w:val="2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600" w:lineRule="exact"/>
              <w:jc w:val="distribute"/>
              <w:rPr>
                <w:rFonts w:hint="eastAsia"/>
                <w:sz w:val="24"/>
                <w:szCs w:val="24"/>
              </w:rPr>
            </w:pPr>
            <w:r>
              <w:rPr>
                <w:rFonts w:hint="eastAsia"/>
                <w:sz w:val="24"/>
                <w:szCs w:val="24"/>
              </w:rPr>
              <w:t>工程地点</w:t>
            </w:r>
          </w:p>
        </w:tc>
        <w:tc>
          <w:tcPr>
            <w:tcW w:w="456" w:type="dxa"/>
          </w:tcPr>
          <w:p>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pPr>
              <w:spacing w:line="600" w:lineRule="exact"/>
              <w:jc w:val="center"/>
              <w:rPr>
                <w:rFonts w:hint="eastAsia"/>
                <w:sz w:val="24"/>
                <w:szCs w:val="24"/>
              </w:rPr>
            </w:pPr>
            <w:bookmarkStart w:id="6" w:name="项目地点1"/>
            <w:r>
              <w:rPr>
                <w:rFonts w:hint="eastAsia"/>
                <w:sz w:val="24"/>
                <w:szCs w:val="24"/>
              </w:rPr>
              <w:t>福州</w:t>
            </w:r>
            <w:bookmarkEnd w:id="6"/>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600" w:lineRule="exact"/>
              <w:jc w:val="distribute"/>
              <w:rPr>
                <w:rFonts w:hint="eastAsia"/>
                <w:sz w:val="24"/>
                <w:szCs w:val="24"/>
              </w:rPr>
            </w:pPr>
            <w:r>
              <w:rPr>
                <w:rFonts w:hint="eastAsia"/>
                <w:sz w:val="24"/>
                <w:szCs w:val="24"/>
              </w:rPr>
              <w:t>建设单位</w:t>
            </w:r>
          </w:p>
        </w:tc>
        <w:tc>
          <w:tcPr>
            <w:tcW w:w="456" w:type="dxa"/>
          </w:tcPr>
          <w:p>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pPr>
              <w:spacing w:line="600" w:lineRule="exact"/>
              <w:jc w:val="center"/>
              <w:rPr>
                <w:rFonts w:hint="eastAsia"/>
                <w:sz w:val="24"/>
                <w:szCs w:val="24"/>
              </w:rPr>
            </w:pPr>
            <w:bookmarkStart w:id="7" w:name="建设单位"/>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600" w:lineRule="exact"/>
              <w:jc w:val="distribute"/>
              <w:rPr>
                <w:rFonts w:hint="eastAsia"/>
                <w:sz w:val="24"/>
                <w:szCs w:val="24"/>
              </w:rPr>
            </w:pPr>
            <w:r>
              <w:rPr>
                <w:rFonts w:hint="eastAsia"/>
                <w:sz w:val="24"/>
                <w:szCs w:val="24"/>
              </w:rPr>
              <w:t>设计单位</w:t>
            </w:r>
          </w:p>
        </w:tc>
        <w:tc>
          <w:tcPr>
            <w:tcW w:w="456" w:type="dxa"/>
          </w:tcPr>
          <w:p>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pPr>
              <w:spacing w:line="600" w:lineRule="exact"/>
              <w:jc w:val="center"/>
              <w:rPr>
                <w:rFonts w:hint="eastAsia"/>
                <w:sz w:val="24"/>
                <w:szCs w:val="24"/>
              </w:rPr>
            </w:pPr>
            <w:bookmarkStart w:id="8" w:name="设计单位"/>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600" w:lineRule="exact"/>
              <w:jc w:val="distribute"/>
              <w:rPr>
                <w:rFonts w:hint="eastAsia"/>
                <w:sz w:val="24"/>
                <w:szCs w:val="24"/>
              </w:rPr>
            </w:pPr>
            <w:r>
              <w:rPr>
                <w:rFonts w:hint="eastAsia"/>
                <w:sz w:val="24"/>
                <w:szCs w:val="24"/>
              </w:rPr>
              <w:t>设计人</w:t>
            </w:r>
          </w:p>
        </w:tc>
        <w:tc>
          <w:tcPr>
            <w:tcW w:w="456" w:type="dxa"/>
          </w:tcPr>
          <w:p>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pPr>
              <w:spacing w:line="600" w:lineRule="exact"/>
              <w:jc w:val="center"/>
              <w:rPr>
                <w:rFonts w:hint="eastAsia"/>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600" w:lineRule="exact"/>
              <w:jc w:val="distribute"/>
              <w:rPr>
                <w:rFonts w:hint="eastAsia"/>
                <w:sz w:val="24"/>
                <w:szCs w:val="24"/>
              </w:rPr>
            </w:pPr>
            <w:r>
              <w:rPr>
                <w:rFonts w:hint="eastAsia"/>
                <w:sz w:val="24"/>
                <w:szCs w:val="24"/>
              </w:rPr>
              <w:t>校对人</w:t>
            </w:r>
          </w:p>
        </w:tc>
        <w:tc>
          <w:tcPr>
            <w:tcW w:w="456" w:type="dxa"/>
          </w:tcPr>
          <w:p>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pPr>
              <w:spacing w:line="600" w:lineRule="exact"/>
              <w:jc w:val="center"/>
              <w:rPr>
                <w:rFonts w:hint="eastAsia"/>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600" w:lineRule="exact"/>
              <w:jc w:val="distribute"/>
              <w:rPr>
                <w:rFonts w:hint="eastAsia"/>
                <w:sz w:val="24"/>
                <w:szCs w:val="24"/>
              </w:rPr>
            </w:pPr>
            <w:r>
              <w:rPr>
                <w:rFonts w:hint="eastAsia"/>
                <w:sz w:val="24"/>
                <w:szCs w:val="24"/>
              </w:rPr>
              <w:t>审定人</w:t>
            </w:r>
          </w:p>
        </w:tc>
        <w:tc>
          <w:tcPr>
            <w:tcW w:w="456" w:type="dxa"/>
          </w:tcPr>
          <w:p>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pPr>
              <w:spacing w:line="600" w:lineRule="exact"/>
              <w:jc w:val="center"/>
              <w:rPr>
                <w:rFonts w:hint="eastAsia"/>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600" w:lineRule="exact"/>
              <w:jc w:val="distribute"/>
              <w:rPr>
                <w:rFonts w:hint="eastAsia"/>
                <w:sz w:val="24"/>
                <w:szCs w:val="24"/>
              </w:rPr>
            </w:pPr>
            <w:r>
              <w:rPr>
                <w:rFonts w:hint="eastAsia"/>
                <w:sz w:val="24"/>
                <w:szCs w:val="24"/>
              </w:rPr>
              <w:t>报告日期</w:t>
            </w:r>
          </w:p>
        </w:tc>
        <w:tc>
          <w:tcPr>
            <w:tcW w:w="456" w:type="dxa"/>
          </w:tcPr>
          <w:p>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pPr>
              <w:spacing w:line="600" w:lineRule="exact"/>
              <w:jc w:val="center"/>
              <w:rPr>
                <w:rFonts w:hint="eastAsia"/>
                <w:sz w:val="24"/>
                <w:szCs w:val="24"/>
              </w:rPr>
            </w:pPr>
            <w:bookmarkStart w:id="9" w:name="计算日期"/>
            <w:r>
              <w:rPr>
                <w:rFonts w:hint="eastAsia"/>
                <w:sz w:val="24"/>
                <w:szCs w:val="24"/>
              </w:rPr>
              <w:t>2025年12月8日</w:t>
            </w:r>
            <w:bookmarkEnd w:id="9"/>
          </w:p>
        </w:tc>
      </w:tr>
    </w:tbl>
    <w:p>
      <w:pPr>
        <w:rPr>
          <w:rFonts w:asciiTheme="minorHAnsi" w:hAnsiTheme="minorHAnsi" w:eastAsiaTheme="minorEastAsia" w:cstheme="minorBidi"/>
          <w:kern w:val="2"/>
          <w:szCs w:val="22"/>
        </w:rPr>
      </w:pPr>
    </w:p>
    <w:p>
      <w:pPr>
        <w:rPr>
          <w:rFonts w:asciiTheme="minorHAnsi" w:hAnsiTheme="minorHAnsi" w:eastAsiaTheme="minorEastAsia" w:cstheme="minorBidi"/>
          <w:kern w:val="2"/>
          <w:szCs w:val="22"/>
        </w:rPr>
      </w:pPr>
    </w:p>
    <w:p>
      <w:pPr>
        <w:rPr>
          <w:rFonts w:hint="eastAsia"/>
        </w:rPr>
      </w:pPr>
    </w:p>
    <w:p>
      <w:pPr>
        <w:rPr>
          <w:rFonts w:hint="eastAsia"/>
        </w:rPr>
      </w:pPr>
    </w:p>
    <w:tbl>
      <w:tblPr>
        <w:tblStyle w:val="23"/>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pPr>
              <w:spacing w:before="156" w:beforeLines="50" w:line="180" w:lineRule="exact"/>
              <w:jc w:val="distribute"/>
              <w:rPr>
                <w:rFonts w:hint="eastAsia"/>
                <w:sz w:val="18"/>
              </w:rPr>
            </w:pPr>
            <w:r>
              <w:rPr>
                <w:rFonts w:hint="eastAsia"/>
                <w:sz w:val="18"/>
              </w:rPr>
              <w:t>采用软件</w:t>
            </w:r>
          </w:p>
        </w:tc>
        <w:tc>
          <w:tcPr>
            <w:tcW w:w="3108" w:type="dxa"/>
            <w:tcBorders>
              <w:top w:val="single" w:color="auto" w:sz="2" w:space="0"/>
              <w:left w:val="nil"/>
              <w:bottom w:val="nil"/>
              <w:right w:val="nil"/>
            </w:tcBorders>
            <w:vAlign w:val="bottom"/>
          </w:tcPr>
          <w:p>
            <w:pPr>
              <w:spacing w:line="180" w:lineRule="exact"/>
              <w:ind w:left="-34" w:leftChars="-16" w:right="-105" w:rightChars="-50"/>
              <w:rPr>
                <w:rFonts w:hint="eastAsia"/>
                <w:sz w:val="18"/>
              </w:rPr>
            </w:pPr>
            <w:r>
              <w:rPr>
                <w:rFonts w:hint="eastAsia"/>
                <w:sz w:val="18"/>
              </w:rPr>
              <w:t>：</w:t>
            </w:r>
            <w:bookmarkStart w:id="10" w:name="采用软件"/>
            <w:r>
              <w:rPr>
                <w:rFonts w:hint="eastAsia"/>
                <w:sz w:val="18"/>
              </w:rPr>
              <w:t>采光分析DALI2025</w:t>
            </w:r>
            <w:bookmarkEnd w:id="10"/>
          </w:p>
        </w:tc>
        <w:tc>
          <w:tcPr>
            <w:tcW w:w="3957" w:type="dxa"/>
            <w:vMerge w:val="restart"/>
            <w:tcBorders>
              <w:top w:val="single" w:color="auto" w:sz="2" w:space="0"/>
              <w:left w:val="nil"/>
              <w:bottom w:val="nil"/>
              <w:right w:val="nil"/>
            </w:tcBorders>
            <w:vAlign w:val="bottom"/>
          </w:tcPr>
          <w:p>
            <w:pPr>
              <w:spacing w:line="240" w:lineRule="auto"/>
              <w:ind w:left="-246" w:leftChars="-117"/>
              <w:jc w:val="right"/>
              <w:rPr>
                <w:rFonts w:hint="eastAsia"/>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pPr>
              <w:spacing w:line="180" w:lineRule="exact"/>
              <w:jc w:val="distribute"/>
              <w:rPr>
                <w:rFonts w:hint="eastAsia"/>
                <w:sz w:val="18"/>
              </w:rPr>
            </w:pPr>
            <w:r>
              <w:rPr>
                <w:rFonts w:hint="eastAsia"/>
                <w:sz w:val="18"/>
              </w:rPr>
              <w:t>软件版本</w:t>
            </w:r>
          </w:p>
        </w:tc>
        <w:tc>
          <w:tcPr>
            <w:tcW w:w="3108" w:type="dxa"/>
            <w:tcBorders>
              <w:top w:val="nil"/>
              <w:left w:val="nil"/>
              <w:bottom w:val="nil"/>
              <w:right w:val="nil"/>
            </w:tcBorders>
            <w:vAlign w:val="bottom"/>
          </w:tcPr>
          <w:p>
            <w:pPr>
              <w:spacing w:line="180" w:lineRule="exact"/>
              <w:ind w:left="-34" w:leftChars="-16"/>
              <w:rPr>
                <w:rFonts w:hint="eastAsia"/>
                <w:sz w:val="18"/>
              </w:rPr>
            </w:pPr>
            <w:r>
              <w:rPr>
                <w:rFonts w:hint="eastAsia"/>
                <w:sz w:val="18"/>
              </w:rPr>
              <w:t>：</w:t>
            </w:r>
            <w:bookmarkStart w:id="11" w:name="软件版本"/>
            <w:r>
              <w:rPr>
                <w:rFonts w:hint="eastAsia"/>
                <w:sz w:val="18"/>
              </w:rPr>
              <w:t>20250505(PLUS)</w:t>
            </w:r>
            <w:bookmarkEnd w:id="11"/>
          </w:p>
        </w:tc>
        <w:tc>
          <w:tcPr>
            <w:tcW w:w="3957" w:type="dxa"/>
            <w:vMerge w:val="continue"/>
            <w:tcBorders>
              <w:top w:val="single" w:color="auto" w:sz="2" w:space="0"/>
              <w:left w:val="nil"/>
              <w:bottom w:val="nil"/>
              <w:right w:val="nil"/>
            </w:tcBorders>
            <w:vAlign w:val="center"/>
          </w:tcPr>
          <w:p>
            <w:pPr>
              <w:spacing w:line="360" w:lineRule="exact"/>
              <w:rPr>
                <w:rFonts w:asciiTheme="minorHAnsi" w:hAnsiTheme="minorHAnsi" w:eastAsiaTheme="minorEastAsia"/>
                <w:color w:val="767171" w:themeColor="background2" w:themeShade="80"/>
                <w:kern w:val="2"/>
                <w:szCs w:val="22"/>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pPr>
              <w:spacing w:line="180" w:lineRule="exact"/>
              <w:jc w:val="distribute"/>
              <w:rPr>
                <w:rFonts w:hint="eastAsia"/>
                <w:sz w:val="18"/>
              </w:rPr>
            </w:pPr>
            <w:r>
              <w:rPr>
                <w:rFonts w:hint="eastAsia"/>
                <w:sz w:val="18"/>
              </w:rPr>
              <w:t>正版授权码</w:t>
            </w:r>
          </w:p>
        </w:tc>
        <w:tc>
          <w:tcPr>
            <w:tcW w:w="3108" w:type="dxa"/>
            <w:tcBorders>
              <w:top w:val="nil"/>
              <w:left w:val="nil"/>
              <w:bottom w:val="nil"/>
              <w:right w:val="nil"/>
            </w:tcBorders>
            <w:vAlign w:val="bottom"/>
          </w:tcPr>
          <w:p>
            <w:pPr>
              <w:spacing w:line="180" w:lineRule="exact"/>
              <w:ind w:left="-34" w:leftChars="-16"/>
              <w:rPr>
                <w:rFonts w:hint="eastAsia"/>
                <w:sz w:val="18"/>
              </w:rPr>
            </w:pPr>
            <w:r>
              <w:rPr>
                <w:rFonts w:hint="eastAsia"/>
                <w:sz w:val="18"/>
              </w:rPr>
              <w:t>：</w:t>
            </w:r>
            <w:bookmarkStart w:id="12" w:name="正版授权码"/>
            <w:r>
              <w:rPr>
                <w:rFonts w:hint="eastAsia"/>
                <w:sz w:val="18"/>
              </w:rPr>
              <w:t>T18859020996</w:t>
            </w:r>
            <w:bookmarkEnd w:id="12"/>
          </w:p>
        </w:tc>
        <w:tc>
          <w:tcPr>
            <w:tcW w:w="3957" w:type="dxa"/>
            <w:vMerge w:val="continue"/>
            <w:tcBorders>
              <w:top w:val="single" w:color="auto" w:sz="2" w:space="0"/>
              <w:left w:val="nil"/>
              <w:bottom w:val="nil"/>
              <w:right w:val="nil"/>
            </w:tcBorders>
            <w:vAlign w:val="center"/>
          </w:tcPr>
          <w:p>
            <w:pPr>
              <w:spacing w:line="360" w:lineRule="exact"/>
              <w:rPr>
                <w:rFonts w:asciiTheme="minorHAnsi" w:hAnsiTheme="minorHAnsi" w:eastAsiaTheme="minorEastAsia"/>
                <w:color w:val="767171" w:themeColor="background2" w:themeShade="80"/>
                <w:kern w:val="2"/>
                <w:szCs w:val="22"/>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pPr>
              <w:spacing w:line="180" w:lineRule="exact"/>
              <w:jc w:val="distribute"/>
              <w:rPr>
                <w:rFonts w:hint="eastAsia"/>
                <w:sz w:val="18"/>
              </w:rPr>
            </w:pPr>
            <w:r>
              <w:rPr>
                <w:rFonts w:hint="eastAsia"/>
                <w:sz w:val="18"/>
              </w:rPr>
              <w:t>研发单位</w:t>
            </w:r>
          </w:p>
        </w:tc>
        <w:tc>
          <w:tcPr>
            <w:tcW w:w="3108" w:type="dxa"/>
            <w:tcBorders>
              <w:top w:val="nil"/>
              <w:left w:val="nil"/>
              <w:bottom w:val="nil"/>
              <w:right w:val="nil"/>
            </w:tcBorders>
            <w:vAlign w:val="bottom"/>
          </w:tcPr>
          <w:p>
            <w:pPr>
              <w:spacing w:line="180" w:lineRule="exact"/>
              <w:ind w:left="-34" w:leftChars="-16"/>
              <w:rPr>
                <w:rFonts w:hint="eastAsia"/>
                <w:sz w:val="18"/>
              </w:rPr>
            </w:pPr>
            <w:r>
              <w:rPr>
                <w:rFonts w:hint="eastAsia"/>
                <w:sz w:val="18"/>
              </w:rPr>
              <w:t>：北京绿建软件股份有限公司</w:t>
            </w:r>
          </w:p>
        </w:tc>
        <w:tc>
          <w:tcPr>
            <w:tcW w:w="3957" w:type="dxa"/>
            <w:vMerge w:val="continue"/>
            <w:tcBorders>
              <w:top w:val="single" w:color="auto" w:sz="2" w:space="0"/>
              <w:left w:val="nil"/>
              <w:bottom w:val="nil"/>
              <w:right w:val="nil"/>
            </w:tcBorders>
            <w:vAlign w:val="center"/>
          </w:tcPr>
          <w:p>
            <w:pPr>
              <w:spacing w:line="360" w:lineRule="exact"/>
              <w:rPr>
                <w:rFonts w:asciiTheme="minorHAnsi" w:hAnsiTheme="minorHAnsi" w:eastAsiaTheme="minorEastAsia"/>
                <w:color w:val="767171" w:themeColor="background2" w:themeShade="80"/>
                <w:kern w:val="2"/>
                <w:szCs w:val="22"/>
              </w:rPr>
            </w:pPr>
          </w:p>
        </w:tc>
      </w:tr>
    </w:tbl>
    <w:p>
      <w:pPr>
        <w:tabs>
          <w:tab w:val="left" w:pos="2568"/>
        </w:tabs>
        <w:rPr>
          <w:rFonts w:hint="eastAsia"/>
        </w:rPr>
        <w:sectPr>
          <w:headerReference r:id="rId3" w:type="default"/>
          <w:footerReference r:id="rId4" w:type="default"/>
          <w:pgSz w:w="11906" w:h="16838"/>
          <w:pgMar w:top="1440" w:right="1418" w:bottom="284" w:left="1418" w:header="851" w:footer="0" w:gutter="0"/>
          <w:cols w:space="425" w:num="1"/>
          <w:titlePg/>
          <w:docGrid w:type="lines" w:linePitch="312" w:charSpace="0"/>
        </w:sectPr>
      </w:pPr>
    </w:p>
    <w:bookmarkEnd w:id="0"/>
    <w:p>
      <w:pPr>
        <w:ind w:right="-2"/>
        <w:jc w:val="center"/>
        <w:rPr>
          <w:rFonts w:hint="eastAsia"/>
          <w:sz w:val="28"/>
          <w:szCs w:val="28"/>
        </w:rPr>
      </w:pPr>
      <w:bookmarkStart w:id="13" w:name="目录"/>
      <w:r>
        <w:rPr>
          <w:rFonts w:hint="eastAsia"/>
          <w:sz w:val="28"/>
          <w:szCs w:val="28"/>
        </w:rPr>
        <w:t>目  录</w:t>
      </w:r>
    </w:p>
    <w:p>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_Toc22883 </w:instrText>
      </w:r>
      <w:r>
        <w:rPr>
          <w:szCs w:val="28"/>
        </w:rPr>
        <w:fldChar w:fldCharType="separate"/>
      </w:r>
      <w:r>
        <w:rPr>
          <w:rFonts w:hint="eastAsia"/>
        </w:rPr>
        <w:t>1. 建筑概况</w:t>
      </w:r>
      <w:r>
        <w:tab/>
      </w:r>
      <w:r>
        <w:fldChar w:fldCharType="begin"/>
      </w:r>
      <w:r>
        <w:instrText xml:space="preserve"> PAGEREF _Toc22883 </w:instrText>
      </w:r>
      <w:r>
        <w:fldChar w:fldCharType="separate"/>
      </w:r>
      <w:r>
        <w:t>3</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_Toc29593 </w:instrText>
      </w:r>
      <w:r>
        <w:rPr>
          <w:szCs w:val="28"/>
        </w:rPr>
        <w:fldChar w:fldCharType="separate"/>
      </w:r>
      <w:r>
        <w:rPr>
          <w:rFonts w:hint="eastAsia"/>
        </w:rPr>
        <w:t>2. 计算</w:t>
      </w:r>
      <w:r>
        <w:t>目的</w:t>
      </w:r>
      <w:r>
        <w:tab/>
      </w:r>
      <w:r>
        <w:fldChar w:fldCharType="begin"/>
      </w:r>
      <w:r>
        <w:instrText xml:space="preserve"> PAGEREF _Toc29593 </w:instrText>
      </w:r>
      <w:r>
        <w:fldChar w:fldCharType="separate"/>
      </w:r>
      <w:r>
        <w:t>3</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_Toc11588 </w:instrText>
      </w:r>
      <w:r>
        <w:rPr>
          <w:szCs w:val="28"/>
        </w:rPr>
        <w:fldChar w:fldCharType="separate"/>
      </w:r>
      <w:r>
        <w:rPr>
          <w:rFonts w:hint="eastAsia"/>
        </w:rPr>
        <w:t>3. 分析依据</w:t>
      </w:r>
      <w:r>
        <w:tab/>
      </w:r>
      <w:r>
        <w:fldChar w:fldCharType="begin"/>
      </w:r>
      <w:r>
        <w:instrText xml:space="preserve"> PAGEREF _Toc11588 </w:instrText>
      </w:r>
      <w:r>
        <w:fldChar w:fldCharType="separate"/>
      </w:r>
      <w:r>
        <w:t>3</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_Toc28748 </w:instrText>
      </w:r>
      <w:r>
        <w:rPr>
          <w:szCs w:val="28"/>
        </w:rPr>
        <w:fldChar w:fldCharType="separate"/>
      </w:r>
      <w:r>
        <w:rPr>
          <w:rFonts w:hint="eastAsia" w:ascii="微软雅黑" w:hAnsi="微软雅黑" w:eastAsia="微软雅黑"/>
          <w:lang w:val="en-GB"/>
        </w:rPr>
        <w:t xml:space="preserve">3.1 </w:t>
      </w:r>
      <w:r>
        <w:rPr>
          <w:rFonts w:hint="eastAsia"/>
        </w:rPr>
        <w:t>标准依据</w:t>
      </w:r>
      <w:r>
        <w:tab/>
      </w:r>
      <w:r>
        <w:fldChar w:fldCharType="begin"/>
      </w:r>
      <w:r>
        <w:instrText xml:space="preserve"> PAGEREF _Toc28748 </w:instrText>
      </w:r>
      <w:r>
        <w:fldChar w:fldCharType="separate"/>
      </w:r>
      <w:r>
        <w:t>3</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_Toc31820 </w:instrText>
      </w:r>
      <w:r>
        <w:rPr>
          <w:szCs w:val="28"/>
        </w:rPr>
        <w:fldChar w:fldCharType="separate"/>
      </w:r>
      <w:r>
        <w:rPr>
          <w:rFonts w:hint="eastAsia" w:ascii="微软雅黑" w:hAnsi="微软雅黑" w:eastAsia="微软雅黑"/>
          <w:lang w:val="en-GB"/>
        </w:rPr>
        <w:t xml:space="preserve">3.2 </w:t>
      </w:r>
      <w:r>
        <w:rPr>
          <w:rFonts w:hint="eastAsia"/>
        </w:rPr>
        <w:t>标准要求</w:t>
      </w:r>
      <w:r>
        <w:tab/>
      </w:r>
      <w:r>
        <w:fldChar w:fldCharType="begin"/>
      </w:r>
      <w:r>
        <w:instrText xml:space="preserve"> PAGEREF _Toc31820 </w:instrText>
      </w:r>
      <w:r>
        <w:fldChar w:fldCharType="separate"/>
      </w:r>
      <w:r>
        <w:t>3</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_Toc10608 </w:instrText>
      </w:r>
      <w:r>
        <w:rPr>
          <w:szCs w:val="28"/>
        </w:rPr>
        <w:fldChar w:fldCharType="separate"/>
      </w:r>
      <w:r>
        <w:rPr>
          <w:rFonts w:hint="eastAsia"/>
        </w:rPr>
        <w:t>4. 动态采光</w:t>
      </w:r>
      <w:r>
        <w:t>概述</w:t>
      </w:r>
      <w:r>
        <w:tab/>
      </w:r>
      <w:r>
        <w:fldChar w:fldCharType="begin"/>
      </w:r>
      <w:r>
        <w:instrText xml:space="preserve"> PAGEREF _Toc10608 </w:instrText>
      </w:r>
      <w:r>
        <w:fldChar w:fldCharType="separate"/>
      </w:r>
      <w:r>
        <w:t>5</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_Toc32074 </w:instrText>
      </w:r>
      <w:r>
        <w:rPr>
          <w:szCs w:val="28"/>
        </w:rPr>
        <w:fldChar w:fldCharType="separate"/>
      </w:r>
      <w:r>
        <w:rPr>
          <w:rFonts w:hint="eastAsia" w:ascii="微软雅黑" w:hAnsi="微软雅黑" w:eastAsia="微软雅黑"/>
          <w:lang w:val="en-GB"/>
        </w:rPr>
        <w:t xml:space="preserve">4.1 </w:t>
      </w:r>
      <w:r>
        <w:rPr>
          <w:rFonts w:hint="eastAsia"/>
        </w:rPr>
        <w:t>计算方法</w:t>
      </w:r>
      <w:r>
        <w:tab/>
      </w:r>
      <w:r>
        <w:fldChar w:fldCharType="begin"/>
      </w:r>
      <w:r>
        <w:instrText xml:space="preserve"> PAGEREF _Toc32074 </w:instrText>
      </w:r>
      <w:r>
        <w:fldChar w:fldCharType="separate"/>
      </w:r>
      <w:r>
        <w:t>5</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_Toc17373 </w:instrText>
      </w:r>
      <w:r>
        <w:rPr>
          <w:szCs w:val="28"/>
        </w:rPr>
        <w:fldChar w:fldCharType="separate"/>
      </w:r>
      <w:r>
        <w:rPr>
          <w:rFonts w:hint="eastAsia" w:ascii="微软雅黑" w:hAnsi="微软雅黑" w:eastAsia="微软雅黑"/>
          <w:lang w:val="en-GB"/>
        </w:rPr>
        <w:t xml:space="preserve">4.2 </w:t>
      </w:r>
      <w:r>
        <w:t>软件</w:t>
      </w:r>
      <w:r>
        <w:rPr>
          <w:rFonts w:hint="eastAsia"/>
        </w:rPr>
        <w:t>选用</w:t>
      </w:r>
      <w:r>
        <w:tab/>
      </w:r>
      <w:r>
        <w:fldChar w:fldCharType="begin"/>
      </w:r>
      <w:r>
        <w:instrText xml:space="preserve"> PAGEREF _Toc17373 </w:instrText>
      </w:r>
      <w:r>
        <w:fldChar w:fldCharType="separate"/>
      </w:r>
      <w:r>
        <w:t>5</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_Toc28138 </w:instrText>
      </w:r>
      <w:r>
        <w:rPr>
          <w:szCs w:val="28"/>
        </w:rPr>
        <w:fldChar w:fldCharType="separate"/>
      </w:r>
      <w:r>
        <w:rPr>
          <w:rFonts w:hint="eastAsia"/>
        </w:rPr>
        <w:t>5. 采光计算</w:t>
      </w:r>
      <w:r>
        <w:t>参数</w:t>
      </w:r>
      <w:r>
        <w:rPr>
          <w:rFonts w:hint="eastAsia"/>
        </w:rPr>
        <w:t>取值</w:t>
      </w:r>
      <w:r>
        <w:tab/>
      </w:r>
      <w:r>
        <w:fldChar w:fldCharType="begin"/>
      </w:r>
      <w:r>
        <w:instrText xml:space="preserve"> PAGEREF _Toc28138 </w:instrText>
      </w:r>
      <w:r>
        <w:fldChar w:fldCharType="separate"/>
      </w:r>
      <w:r>
        <w:t>6</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_Toc27106 </w:instrText>
      </w:r>
      <w:r>
        <w:rPr>
          <w:szCs w:val="28"/>
        </w:rPr>
        <w:fldChar w:fldCharType="separate"/>
      </w:r>
      <w:r>
        <w:rPr>
          <w:rFonts w:hint="eastAsia" w:ascii="微软雅黑" w:hAnsi="微软雅黑" w:eastAsia="微软雅黑"/>
          <w:lang w:val="en-GB"/>
        </w:rPr>
        <w:t xml:space="preserve">5.1 </w:t>
      </w:r>
      <w:r>
        <w:t>模拟</w:t>
      </w:r>
      <w:r>
        <w:rPr>
          <w:rFonts w:hint="eastAsia"/>
        </w:rPr>
        <w:t>分析条件说明</w:t>
      </w:r>
      <w:r>
        <w:tab/>
      </w:r>
      <w:r>
        <w:fldChar w:fldCharType="begin"/>
      </w:r>
      <w:r>
        <w:instrText xml:space="preserve"> PAGEREF _Toc27106 </w:instrText>
      </w:r>
      <w:r>
        <w:fldChar w:fldCharType="separate"/>
      </w:r>
      <w:r>
        <w:t>6</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_Toc27986 </w:instrText>
      </w:r>
      <w:r>
        <w:rPr>
          <w:szCs w:val="28"/>
        </w:rPr>
        <w:fldChar w:fldCharType="separate"/>
      </w:r>
      <w:r>
        <w:rPr>
          <w:rFonts w:hint="eastAsia" w:ascii="微软雅黑" w:hAnsi="微软雅黑" w:eastAsia="微软雅黑"/>
          <w:lang w:val="en-GB"/>
        </w:rPr>
        <w:t xml:space="preserve">5.2 </w:t>
      </w:r>
      <w:r>
        <w:rPr>
          <w:rFonts w:hint="eastAsia"/>
        </w:rPr>
        <w:t>建筑饰面材料参数</w:t>
      </w:r>
      <w:r>
        <w:tab/>
      </w:r>
      <w:r>
        <w:fldChar w:fldCharType="begin"/>
      </w:r>
      <w:r>
        <w:instrText xml:space="preserve"> PAGEREF _Toc27986 </w:instrText>
      </w:r>
      <w:r>
        <w:fldChar w:fldCharType="separate"/>
      </w:r>
      <w:r>
        <w:t>6</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_Toc3052 </w:instrText>
      </w:r>
      <w:r>
        <w:rPr>
          <w:szCs w:val="28"/>
        </w:rPr>
        <w:fldChar w:fldCharType="separate"/>
      </w:r>
      <w:r>
        <w:rPr>
          <w:rFonts w:hint="eastAsia" w:ascii="微软雅黑" w:hAnsi="微软雅黑" w:eastAsia="微软雅黑"/>
          <w:lang w:val="en-GB"/>
        </w:rPr>
        <w:t xml:space="preserve">5.3 </w:t>
      </w:r>
      <w:r>
        <w:rPr>
          <w:rFonts w:hint="eastAsia"/>
        </w:rPr>
        <w:t>门窗类型参数</w:t>
      </w:r>
      <w:r>
        <w:tab/>
      </w:r>
      <w:r>
        <w:fldChar w:fldCharType="begin"/>
      </w:r>
      <w:r>
        <w:instrText xml:space="preserve"> PAGEREF _Toc3052 </w:instrText>
      </w:r>
      <w:r>
        <w:fldChar w:fldCharType="separate"/>
      </w:r>
      <w:r>
        <w:t>6</w:t>
      </w:r>
      <w:r>
        <w:fldChar w:fldCharType="end"/>
      </w:r>
      <w:r>
        <w:rPr>
          <w:szCs w:val="28"/>
        </w:rPr>
        <w:fldChar w:fldCharType="end"/>
      </w:r>
    </w:p>
    <w:p>
      <w:pPr>
        <w:pStyle w:val="15"/>
        <w:tabs>
          <w:tab w:val="right" w:leader="dot" w:pos="9070"/>
          <w:tab w:val="clear" w:pos="900"/>
          <w:tab w:val="clear" w:pos="1260"/>
          <w:tab w:val="clear" w:pos="9360"/>
        </w:tabs>
      </w:pPr>
      <w:r>
        <w:rPr>
          <w:szCs w:val="28"/>
        </w:rPr>
        <w:fldChar w:fldCharType="begin"/>
      </w:r>
      <w:r>
        <w:rPr>
          <w:szCs w:val="28"/>
        </w:rPr>
        <w:instrText xml:space="preserve"> HYPERLINK \l _Toc18572 </w:instrText>
      </w:r>
      <w:r>
        <w:rPr>
          <w:szCs w:val="28"/>
        </w:rPr>
        <w:fldChar w:fldCharType="separate"/>
      </w:r>
      <w:r>
        <w:rPr>
          <w:rFonts w:hint="eastAsia" w:ascii="微软雅黑" w:hAnsi="微软雅黑" w:eastAsia="微软雅黑"/>
          <w:szCs w:val="24"/>
          <w:lang w:val="en-GB"/>
        </w:rPr>
        <w:t xml:space="preserve">5.3.1 </w:t>
      </w:r>
      <w:r>
        <w:t>普通</w:t>
      </w:r>
      <w:r>
        <w:rPr>
          <w:rFonts w:hint="eastAsia"/>
        </w:rPr>
        <w:t>窗</w:t>
      </w:r>
      <w:r>
        <w:tab/>
      </w:r>
      <w:r>
        <w:fldChar w:fldCharType="begin"/>
      </w:r>
      <w:r>
        <w:instrText xml:space="preserve"> PAGEREF _Toc18572 </w:instrText>
      </w:r>
      <w:r>
        <w:fldChar w:fldCharType="separate"/>
      </w:r>
      <w:r>
        <w:t>7</w:t>
      </w:r>
      <w:r>
        <w:fldChar w:fldCharType="end"/>
      </w:r>
      <w:r>
        <w:rPr>
          <w:szCs w:val="28"/>
        </w:rPr>
        <w:fldChar w:fldCharType="end"/>
      </w:r>
    </w:p>
    <w:p>
      <w:pPr>
        <w:pStyle w:val="15"/>
        <w:tabs>
          <w:tab w:val="right" w:leader="dot" w:pos="9070"/>
          <w:tab w:val="clear" w:pos="900"/>
          <w:tab w:val="clear" w:pos="1260"/>
          <w:tab w:val="clear" w:pos="9360"/>
        </w:tabs>
      </w:pPr>
      <w:r>
        <w:rPr>
          <w:szCs w:val="28"/>
        </w:rPr>
        <w:fldChar w:fldCharType="begin"/>
      </w:r>
      <w:r>
        <w:rPr>
          <w:szCs w:val="28"/>
        </w:rPr>
        <w:instrText xml:space="preserve"> HYPERLINK \l _Toc20431 </w:instrText>
      </w:r>
      <w:r>
        <w:rPr>
          <w:szCs w:val="28"/>
        </w:rPr>
        <w:fldChar w:fldCharType="separate"/>
      </w:r>
      <w:r>
        <w:rPr>
          <w:rFonts w:hint="eastAsia" w:ascii="微软雅黑" w:hAnsi="微软雅黑" w:eastAsia="微软雅黑"/>
          <w:szCs w:val="24"/>
          <w:lang w:val="en-GB"/>
        </w:rPr>
        <w:t xml:space="preserve">5.3.2 </w:t>
      </w:r>
      <w:r>
        <w:rPr>
          <w:rFonts w:hint="eastAsia"/>
        </w:rPr>
        <w:t>玻璃幕墙</w:t>
      </w:r>
      <w:r>
        <w:tab/>
      </w:r>
      <w:r>
        <w:fldChar w:fldCharType="begin"/>
      </w:r>
      <w:r>
        <w:instrText xml:space="preserve"> PAGEREF _Toc20431 </w:instrText>
      </w:r>
      <w:r>
        <w:fldChar w:fldCharType="separate"/>
      </w:r>
      <w:r>
        <w:t>7</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_Toc12109 </w:instrText>
      </w:r>
      <w:r>
        <w:rPr>
          <w:szCs w:val="28"/>
        </w:rPr>
        <w:fldChar w:fldCharType="separate"/>
      </w:r>
      <w:r>
        <w:rPr>
          <w:rFonts w:hint="eastAsia"/>
        </w:rPr>
        <w:t>6. 动态采光达标统计</w:t>
      </w:r>
      <w:r>
        <w:tab/>
      </w:r>
      <w:r>
        <w:fldChar w:fldCharType="begin"/>
      </w:r>
      <w:r>
        <w:instrText xml:space="preserve"> PAGEREF _Toc12109 </w:instrText>
      </w:r>
      <w:r>
        <w:fldChar w:fldCharType="separate"/>
      </w:r>
      <w:r>
        <w:t>7</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_Toc27379 </w:instrText>
      </w:r>
      <w:r>
        <w:rPr>
          <w:szCs w:val="28"/>
        </w:rPr>
        <w:fldChar w:fldCharType="separate"/>
      </w:r>
      <w:r>
        <w:rPr>
          <w:rFonts w:hint="eastAsia"/>
        </w:rPr>
        <w:t>7. 动态采光统计图</w:t>
      </w:r>
      <w:r>
        <w:tab/>
      </w:r>
      <w:r>
        <w:fldChar w:fldCharType="begin"/>
      </w:r>
      <w:r>
        <w:instrText xml:space="preserve"> PAGEREF _Toc27379 </w:instrText>
      </w:r>
      <w:r>
        <w:fldChar w:fldCharType="separate"/>
      </w:r>
      <w:r>
        <w:t>8</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_Toc15316 </w:instrText>
      </w:r>
      <w:r>
        <w:rPr>
          <w:szCs w:val="28"/>
        </w:rPr>
        <w:fldChar w:fldCharType="separate"/>
      </w:r>
      <w:r>
        <w:rPr>
          <w:rFonts w:hint="eastAsia"/>
        </w:rPr>
        <w:t xml:space="preserve">8. </w:t>
      </w:r>
      <w:r>
        <w:t>动态采光彩图</w:t>
      </w:r>
      <w:r>
        <w:tab/>
      </w:r>
      <w:r>
        <w:fldChar w:fldCharType="begin"/>
      </w:r>
      <w:r>
        <w:instrText xml:space="preserve"> PAGEREF _Toc15316 </w:instrText>
      </w:r>
      <w:r>
        <w:fldChar w:fldCharType="separate"/>
      </w:r>
      <w:r>
        <w:t>9</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_Toc18215 </w:instrText>
      </w:r>
      <w:r>
        <w:rPr>
          <w:szCs w:val="28"/>
        </w:rPr>
        <w:fldChar w:fldCharType="separate"/>
      </w:r>
      <w:r>
        <w:rPr>
          <w:rFonts w:hint="eastAsia"/>
        </w:rPr>
        <w:t>9. 评价结论</w:t>
      </w:r>
      <w:r>
        <w:tab/>
      </w:r>
      <w:r>
        <w:fldChar w:fldCharType="begin"/>
      </w:r>
      <w:r>
        <w:instrText xml:space="preserve"> PAGEREF _Toc18215 </w:instrText>
      </w:r>
      <w:r>
        <w:fldChar w:fldCharType="separate"/>
      </w:r>
      <w:r>
        <w:t>10</w:t>
      </w:r>
      <w:r>
        <w:fldChar w:fldCharType="end"/>
      </w:r>
      <w:r>
        <w:rPr>
          <w:szCs w:val="28"/>
        </w:rPr>
        <w:fldChar w:fldCharType="end"/>
      </w:r>
    </w:p>
    <w:p>
      <w:pPr>
        <w:rPr>
          <w:rFonts w:hint="eastAsia"/>
          <w:sz w:val="28"/>
          <w:szCs w:val="28"/>
        </w:rPr>
        <w:sectPr>
          <w:headerReference r:id="rId5" w:type="first"/>
          <w:pgSz w:w="11906" w:h="16838"/>
          <w:pgMar w:top="1440" w:right="1418" w:bottom="1440" w:left="1418" w:header="851" w:footer="992" w:gutter="0"/>
          <w:cols w:space="425" w:num="1"/>
          <w:titlePg/>
          <w:docGrid w:type="lines" w:linePitch="312" w:charSpace="0"/>
        </w:sectPr>
      </w:pPr>
      <w:r>
        <w:rPr>
          <w:szCs w:val="28"/>
        </w:rPr>
        <w:fldChar w:fldCharType="end"/>
      </w:r>
      <w:bookmarkEnd w:id="13"/>
    </w:p>
    <w:p>
      <w:pPr>
        <w:pStyle w:val="2"/>
        <w:ind w:left="432" w:hanging="432"/>
      </w:pPr>
      <w:r>
        <w:rPr>
          <w:szCs w:val="21"/>
        </w:rPr>
        <w:tab/>
      </w:r>
      <w:bookmarkStart w:id="14" w:name="_Toc22883"/>
      <w:bookmarkStart w:id="15" w:name="_Toc512608176"/>
      <w:r>
        <w:rPr>
          <w:rFonts w:hint="eastAsia"/>
        </w:rPr>
        <w:t>建筑概况</w:t>
      </w:r>
      <w:bookmarkEnd w:id="14"/>
      <w:bookmarkEnd w:id="15"/>
    </w:p>
    <w:tbl>
      <w:tblPr>
        <w:tblStyle w:val="22"/>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pPr>
              <w:pStyle w:val="3"/>
              <w:rPr>
                <w:rFonts w:hint="eastAsia"/>
                <w:lang w:val="en-US"/>
              </w:rPr>
            </w:pPr>
            <w:r>
              <w:rPr>
                <w:lang w:val="en-US"/>
              </w:rPr>
              <w:t>项目所在地</w:t>
            </w:r>
          </w:p>
        </w:tc>
        <w:tc>
          <w:tcPr>
            <w:tcW w:w="6447" w:type="dxa"/>
            <w:gridSpan w:val="3"/>
          </w:tcPr>
          <w:p>
            <w:pPr>
              <w:pStyle w:val="3"/>
              <w:rPr>
                <w:rFonts w:hint="eastAsia"/>
                <w:lang w:val="en-US"/>
              </w:rPr>
            </w:pPr>
            <w:bookmarkStart w:id="16" w:name="项目地点"/>
            <w:r>
              <w:t>福州</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pPr>
              <w:pStyle w:val="3"/>
              <w:rPr>
                <w:rFonts w:hint="eastAsia"/>
                <w:lang w:val="en-US"/>
              </w:rPr>
            </w:pPr>
            <w:r>
              <w:rPr>
                <w:rFonts w:hint="eastAsia"/>
                <w:lang w:val="en-US"/>
              </w:rPr>
              <w:t>光气候分区</w:t>
            </w:r>
          </w:p>
        </w:tc>
        <w:tc>
          <w:tcPr>
            <w:tcW w:w="2624" w:type="dxa"/>
          </w:tcPr>
          <w:p>
            <w:pPr>
              <w:pStyle w:val="3"/>
              <w:rPr>
                <w:rFonts w:hint="eastAsia"/>
                <w:lang w:val="en-US"/>
              </w:rPr>
            </w:pPr>
            <w:bookmarkStart w:id="17" w:name="光气候分区"/>
            <w:r>
              <w:t>IV</w:t>
            </w:r>
            <w:bookmarkEnd w:id="17"/>
          </w:p>
        </w:tc>
        <w:tc>
          <w:tcPr>
            <w:tcW w:w="1757" w:type="dxa"/>
            <w:shd w:val="clear" w:color="auto" w:fill="E0E0E0"/>
          </w:tcPr>
          <w:p>
            <w:pPr>
              <w:pStyle w:val="3"/>
              <w:rPr>
                <w:rFonts w:hint="eastAsia"/>
                <w:lang w:val="en-US"/>
              </w:rPr>
            </w:pPr>
            <w:r>
              <w:rPr>
                <w:rFonts w:hint="eastAsia"/>
                <w:lang w:val="en-US"/>
              </w:rPr>
              <w:t>光气候系数K</w:t>
            </w:r>
          </w:p>
        </w:tc>
        <w:tc>
          <w:tcPr>
            <w:tcW w:w="2066" w:type="dxa"/>
          </w:tcPr>
          <w:p>
            <w:pPr>
              <w:pStyle w:val="3"/>
              <w:rPr>
                <w:rFonts w:hint="eastAsia"/>
                <w:lang w:val="en-US"/>
              </w:rPr>
            </w:pPr>
            <w:bookmarkStart w:id="18" w:name="光气候系数K"/>
            <w:r>
              <w:t>1.10</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pPr>
              <w:pStyle w:val="3"/>
              <w:rPr>
                <w:rFonts w:hint="eastAsia"/>
                <w:lang w:val="en-US"/>
              </w:rPr>
            </w:pPr>
            <w:r>
              <w:rPr>
                <w:rFonts w:hint="eastAsia"/>
                <w:lang w:val="en-US"/>
              </w:rPr>
              <w:t>建筑面积</w:t>
            </w:r>
          </w:p>
        </w:tc>
        <w:tc>
          <w:tcPr>
            <w:tcW w:w="6447" w:type="dxa"/>
            <w:gridSpan w:val="3"/>
          </w:tcPr>
          <w:p>
            <w:pPr>
              <w:pStyle w:val="3"/>
              <w:rPr>
                <w:rFonts w:hint="eastAsia"/>
                <w:lang w:val="en-US"/>
              </w:rPr>
            </w:pPr>
            <w:r>
              <w:rPr>
                <w:rFonts w:hint="eastAsia"/>
                <w:lang w:val="en-US"/>
              </w:rPr>
              <w:t xml:space="preserve">地上  </w:t>
            </w:r>
            <w:bookmarkStart w:id="19" w:name="地上建筑面积"/>
            <w:r>
              <w:t>540.07</w:t>
            </w:r>
            <w:bookmarkEnd w:id="19"/>
            <w:r>
              <w:rPr>
                <w:rFonts w:hint="eastAsia"/>
              </w:rPr>
              <w:t>㎡</w:t>
            </w:r>
            <w:r>
              <w:rPr>
                <w:rFonts w:hint="eastAsia"/>
                <w:lang w:val="en-US"/>
              </w:rPr>
              <w:t xml:space="preserve">    地下  </w:t>
            </w:r>
            <w:bookmarkStart w:id="20" w:name="地下建筑面积"/>
            <w:r>
              <w:t>0.00</w:t>
            </w:r>
            <w:bookmarkEnd w:id="20"/>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85" w:type="dxa"/>
            <w:shd w:val="clear" w:color="auto" w:fill="E6E6E6"/>
          </w:tcPr>
          <w:p>
            <w:pPr>
              <w:pStyle w:val="3"/>
              <w:rPr>
                <w:rFonts w:hint="eastAsia"/>
                <w:lang w:val="en-US"/>
              </w:rPr>
            </w:pPr>
            <w:r>
              <w:rPr>
                <w:rFonts w:hint="eastAsia"/>
                <w:lang w:val="en-US"/>
              </w:rPr>
              <w:t>建筑层数</w:t>
            </w:r>
          </w:p>
        </w:tc>
        <w:tc>
          <w:tcPr>
            <w:tcW w:w="6447" w:type="dxa"/>
            <w:gridSpan w:val="3"/>
          </w:tcPr>
          <w:p>
            <w:pPr>
              <w:pStyle w:val="3"/>
              <w:rPr>
                <w:rFonts w:hint="eastAsia"/>
                <w:lang w:val="en-US"/>
              </w:rPr>
            </w:pPr>
            <w:r>
              <w:rPr>
                <w:rFonts w:hint="eastAsia"/>
                <w:lang w:val="en-US"/>
              </w:rPr>
              <w:t xml:space="preserve">地上  </w:t>
            </w:r>
            <w:bookmarkStart w:id="21" w:name="地上建筑层数"/>
            <w:r>
              <w:t>2</w:t>
            </w:r>
            <w:bookmarkEnd w:id="21"/>
            <w:r>
              <w:rPr>
                <w:rFonts w:hint="eastAsia"/>
                <w:lang w:val="en-US"/>
              </w:rPr>
              <w:t xml:space="preserve">          地下 </w:t>
            </w:r>
            <w:bookmarkStart w:id="22" w:name="地下建筑层数"/>
            <w:r>
              <w:t>0</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pPr>
              <w:pStyle w:val="3"/>
              <w:rPr>
                <w:rFonts w:hint="eastAsia"/>
                <w:lang w:val="en-US"/>
              </w:rPr>
            </w:pPr>
            <w:r>
              <w:rPr>
                <w:rFonts w:hint="eastAsia"/>
                <w:lang w:val="en-US"/>
              </w:rPr>
              <w:t>建筑高度</w:t>
            </w:r>
          </w:p>
        </w:tc>
        <w:tc>
          <w:tcPr>
            <w:tcW w:w="6447" w:type="dxa"/>
            <w:gridSpan w:val="3"/>
          </w:tcPr>
          <w:p>
            <w:pPr>
              <w:pStyle w:val="3"/>
              <w:rPr>
                <w:rFonts w:hint="eastAsia"/>
                <w:lang w:val="en-US"/>
              </w:rPr>
            </w:pPr>
            <w:r>
              <w:rPr>
                <w:rFonts w:hint="eastAsia"/>
                <w:lang w:val="en-US"/>
              </w:rPr>
              <w:t xml:space="preserve">地上 </w:t>
            </w:r>
            <w:bookmarkStart w:id="23" w:name="地上建筑高度"/>
            <w:r>
              <w:t>7.50</w:t>
            </w:r>
            <w:bookmarkEnd w:id="23"/>
            <w:r>
              <w:rPr>
                <w:rFonts w:hint="eastAsia"/>
                <w:lang w:val="en-US"/>
              </w:rPr>
              <w:t xml:space="preserve"> m     地下  </w:t>
            </w:r>
            <w:bookmarkStart w:id="24" w:name="地下建筑高度"/>
            <w:r>
              <w:t>0.00</w:t>
            </w:r>
            <w:bookmarkEnd w:id="24"/>
            <w:r>
              <w:rPr>
                <w:rFonts w:hint="eastAsia"/>
                <w:lang w:val="en-US"/>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pPr>
              <w:pStyle w:val="3"/>
              <w:rPr>
                <w:rFonts w:hint="eastAsia"/>
                <w:lang w:val="en-US"/>
              </w:rPr>
            </w:pPr>
            <w:r>
              <w:rPr>
                <w:rFonts w:hint="eastAsia"/>
              </w:rPr>
              <w:t>备注</w:t>
            </w:r>
          </w:p>
        </w:tc>
        <w:tc>
          <w:tcPr>
            <w:tcW w:w="6447" w:type="dxa"/>
            <w:gridSpan w:val="3"/>
          </w:tcPr>
          <w:p>
            <w:pPr>
              <w:pStyle w:val="3"/>
              <w:rPr>
                <w:rFonts w:hint="eastAsia"/>
                <w:lang w:val="en-US"/>
              </w:rPr>
            </w:pPr>
            <w:bookmarkStart w:id="25" w:name="备注"/>
            <w:bookmarkEnd w:id="25"/>
          </w:p>
        </w:tc>
      </w:tr>
    </w:tbl>
    <w:p>
      <w:pPr>
        <w:jc w:val="center"/>
        <w:rPr>
          <w:rFonts w:hint="eastAsia"/>
          <w:lang w:val="en-US"/>
        </w:rPr>
      </w:pPr>
    </w:p>
    <w:p>
      <w:pPr>
        <w:pStyle w:val="2"/>
        <w:ind w:left="432" w:hanging="432"/>
      </w:pPr>
      <w:bookmarkStart w:id="26" w:name="_Toc29593"/>
      <w:bookmarkStart w:id="27" w:name="_Toc512608178"/>
      <w:r>
        <w:rPr>
          <w:rFonts w:hint="eastAsia"/>
        </w:rPr>
        <w:t>计算</w:t>
      </w:r>
      <w:r>
        <w:t>目的</w:t>
      </w:r>
      <w:bookmarkEnd w:id="26"/>
      <w:bookmarkEnd w:id="27"/>
    </w:p>
    <w:p>
      <w:pPr>
        <w:pStyle w:val="3"/>
        <w:ind w:firstLine="420" w:firstLineChars="200"/>
        <w:rPr>
          <w:rFonts w:hint="eastAsia"/>
        </w:rPr>
      </w:pPr>
      <w:r>
        <w:rPr>
          <w:rFonts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pPr>
        <w:pStyle w:val="2"/>
        <w:ind w:left="432" w:hanging="432"/>
      </w:pPr>
      <w:bookmarkStart w:id="28" w:name="_Toc512608177"/>
      <w:bookmarkStart w:id="29" w:name="_Toc11588"/>
      <w:r>
        <w:rPr>
          <w:rFonts w:hint="eastAsia"/>
        </w:rPr>
        <w:t>分析依据</w:t>
      </w:r>
      <w:bookmarkEnd w:id="28"/>
      <w:bookmarkEnd w:id="29"/>
    </w:p>
    <w:p>
      <w:pPr>
        <w:pStyle w:val="4"/>
      </w:pPr>
      <w:bookmarkStart w:id="30" w:name="_Toc28748"/>
      <w:r>
        <w:rPr>
          <w:rFonts w:hint="eastAsia"/>
        </w:rPr>
        <w:t>标准依据</w:t>
      </w:r>
      <w:bookmarkEnd w:id="30"/>
    </w:p>
    <w:p>
      <w:pPr>
        <w:pStyle w:val="3"/>
        <w:numPr>
          <w:ilvl w:val="0"/>
          <w:numId w:val="2"/>
        </w:numPr>
        <w:rPr>
          <w:rFonts w:hint="eastAsia"/>
          <w:lang w:val="en-US"/>
        </w:rPr>
      </w:pPr>
      <w:bookmarkStart w:id="31" w:name="标准名称"/>
      <w:bookmarkStart w:id="32" w:name="_Toc512608179"/>
      <w:r>
        <w:rPr>
          <w:lang w:val="en-US"/>
        </w:rPr>
        <w:t>《绿色建筑评价标准》GB/T 50378-2019（2024年版）</w:t>
      </w:r>
      <w:bookmarkEnd w:id="31"/>
    </w:p>
    <w:p>
      <w:pPr>
        <w:pStyle w:val="3"/>
        <w:numPr>
          <w:ilvl w:val="0"/>
          <w:numId w:val="2"/>
        </w:numPr>
        <w:rPr>
          <w:rFonts w:hint="eastAsia"/>
          <w:lang w:val="en-US"/>
        </w:rPr>
      </w:pPr>
      <w:r>
        <w:rPr>
          <w:lang w:val="en-US"/>
        </w:rPr>
        <w:t>《建筑采光设计标准》GB 50033-2013</w:t>
      </w:r>
    </w:p>
    <w:p>
      <w:pPr>
        <w:pStyle w:val="3"/>
        <w:numPr>
          <w:ilvl w:val="0"/>
          <w:numId w:val="2"/>
        </w:numPr>
        <w:rPr>
          <w:rFonts w:hint="eastAsia"/>
          <w:sz w:val="24"/>
          <w:lang w:val="en-US"/>
        </w:rPr>
      </w:pPr>
      <w:r>
        <w:rPr>
          <w:rFonts w:hint="eastAsia"/>
          <w:sz w:val="24"/>
          <w:lang w:val="en-US"/>
        </w:rPr>
        <w:t>《</w:t>
      </w:r>
      <w:r>
        <w:rPr>
          <w:rFonts w:hint="eastAsia"/>
          <w:lang w:val="en-US"/>
        </w:rPr>
        <w:t>绿色建筑评价标准技术细则2019》</w:t>
      </w:r>
    </w:p>
    <w:p>
      <w:pPr>
        <w:pStyle w:val="3"/>
        <w:numPr>
          <w:ilvl w:val="0"/>
          <w:numId w:val="2"/>
        </w:numPr>
        <w:rPr>
          <w:rFonts w:hint="eastAsia"/>
          <w:lang w:val="en-US"/>
        </w:rPr>
      </w:pPr>
      <w:r>
        <w:rPr>
          <w:rFonts w:hint="eastAsia"/>
          <w:lang w:val="en-US"/>
        </w:rPr>
        <w:t>《</w:t>
      </w:r>
      <w:r>
        <w:rPr>
          <w:lang w:val="en-US"/>
        </w:rPr>
        <w:t>民用建筑绿色性能计算标准</w:t>
      </w:r>
      <w:r>
        <w:rPr>
          <w:rFonts w:hint="eastAsia"/>
          <w:lang w:val="en-US"/>
        </w:rPr>
        <w:t>》</w:t>
      </w:r>
      <w:r>
        <w:rPr>
          <w:lang w:val="en-US"/>
        </w:rPr>
        <w:t>JGJT_449-2018</w:t>
      </w:r>
    </w:p>
    <w:p>
      <w:pPr>
        <w:pStyle w:val="3"/>
        <w:numPr>
          <w:ilvl w:val="0"/>
          <w:numId w:val="2"/>
        </w:numPr>
        <w:rPr>
          <w:rFonts w:hint="eastAsia"/>
          <w:lang w:val="en-US"/>
        </w:rPr>
      </w:pPr>
      <w:r>
        <w:rPr>
          <w:lang w:val="en-US"/>
        </w:rPr>
        <w:t>《采光测量方法》GB/T 5699-2017</w:t>
      </w:r>
    </w:p>
    <w:p>
      <w:pPr>
        <w:pStyle w:val="4"/>
      </w:pPr>
      <w:bookmarkStart w:id="33" w:name="_Toc31820"/>
      <w:r>
        <w:rPr>
          <w:rFonts w:hint="eastAsia"/>
        </w:rPr>
        <w:t>标准要求</w:t>
      </w:r>
      <w:bookmarkEnd w:id="32"/>
      <w:bookmarkEnd w:id="33"/>
    </w:p>
    <w:p>
      <w:pPr>
        <w:pStyle w:val="3"/>
        <w:spacing w:line="360" w:lineRule="auto"/>
        <w:ind w:firstLine="420"/>
        <w:rPr>
          <w:rFonts w:hint="eastAsia" w:ascii="宋体" w:hAnsi="宋体"/>
          <w:b/>
          <w:lang w:val="en-US"/>
        </w:rPr>
      </w:pPr>
      <w:r>
        <w:rPr>
          <w:rFonts w:hint="eastAsia" w:ascii="宋体" w:hAnsi="宋体"/>
          <w:lang w:val="en-US"/>
        </w:rPr>
        <w:t>■</w:t>
      </w:r>
      <w:r>
        <w:rPr>
          <w:rFonts w:hint="eastAsia"/>
          <w:lang w:val="en-US"/>
        </w:rPr>
        <w:t xml:space="preserve"> </w:t>
      </w:r>
      <w:bookmarkStart w:id="34" w:name="标准名称1"/>
      <w:r>
        <w:rPr>
          <w:rFonts w:hint="eastAsia"/>
          <w:b/>
          <w:lang w:val="en-US"/>
        </w:rPr>
        <w:t>《绿色建筑评价标准》GB/T 50378-2019（2024年版）</w:t>
      </w:r>
      <w:bookmarkEnd w:id="34"/>
      <w:r>
        <w:rPr>
          <w:b/>
          <w:lang w:val="en-US"/>
        </w:rPr>
        <w:t xml:space="preserve">    </w:t>
      </w:r>
    </w:p>
    <w:p>
      <w:pPr>
        <w:pStyle w:val="3"/>
        <w:ind w:left="420" w:leftChars="200"/>
        <w:rPr>
          <w:rFonts w:hint="eastAsia"/>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pPr>
        <w:ind w:left="420" w:leftChars="200"/>
        <w:jc w:val="left"/>
        <w:rPr>
          <w:rFonts w:hint="eastAsia"/>
          <w:sz w:val="21"/>
          <w:szCs w:val="21"/>
        </w:rPr>
      </w:pPr>
      <w:r>
        <w:rPr>
          <w:rFonts w:hint="eastAsia"/>
          <w:sz w:val="21"/>
          <w:szCs w:val="21"/>
        </w:rPr>
        <w:t>5.2.8 充分利用天然光，评价总分值为12分，并按下列规则评分：</w:t>
      </w:r>
    </w:p>
    <w:p>
      <w:pPr>
        <w:ind w:left="420" w:leftChars="200"/>
        <w:jc w:val="left"/>
        <w:rPr>
          <w:rFonts w:hint="eastAsia"/>
          <w:sz w:val="21"/>
          <w:szCs w:val="21"/>
        </w:rPr>
      </w:pPr>
      <w:r>
        <w:rPr>
          <w:rFonts w:hint="eastAsia"/>
          <w:sz w:val="21"/>
          <w:szCs w:val="21"/>
        </w:rPr>
        <w:t>2公共建筑按下列规则分别评分并累计：</w:t>
      </w:r>
    </w:p>
    <w:p>
      <w:pPr>
        <w:ind w:left="420" w:leftChars="200"/>
        <w:jc w:val="left"/>
        <w:rPr>
          <w:rFonts w:hint="eastAsia"/>
          <w:sz w:val="21"/>
          <w:szCs w:val="21"/>
        </w:rPr>
      </w:pPr>
      <w:r>
        <w:rPr>
          <w:rFonts w:hint="eastAsia"/>
          <w:sz w:val="21"/>
          <w:szCs w:val="21"/>
        </w:rPr>
        <w:t>3）室内主要功能空间至少60%面积比例区域的采光照度值不低于采光要求的小时数平均不少于4h/d，得4</w:t>
      </w:r>
      <w:bookmarkEnd w:id="8"/>
      <w:r>
        <w:rPr>
          <w:rFonts w:hint="eastAsia"/>
          <w:sz w:val="21"/>
          <w:szCs w:val="21"/>
        </w:rPr>
        <w:t>分。</w:t>
      </w:r>
    </w:p>
    <w:p>
      <w:pPr>
        <w:pStyle w:val="3"/>
        <w:ind w:left="420" w:leftChars="200"/>
        <w:rPr>
          <w:rFonts w:hint="eastAsia"/>
          <w:bCs/>
        </w:rPr>
      </w:pPr>
    </w:p>
    <w:p>
      <w:pPr>
        <w:pStyle w:val="3"/>
        <w:spacing w:line="360" w:lineRule="auto"/>
        <w:ind w:firstLine="420"/>
        <w:rPr>
          <w:rFonts w:hint="eastAsia" w:ascii="宋体" w:hAnsi="宋体"/>
          <w:b/>
          <w:lang w:val="en-US"/>
        </w:rPr>
      </w:pPr>
      <w:r>
        <w:rPr>
          <w:rFonts w:hint="eastAsia" w:ascii="宋体" w:hAnsi="宋体"/>
          <w:lang w:val="en-US"/>
        </w:rPr>
        <w:t xml:space="preserve">■ </w:t>
      </w:r>
      <w:r>
        <w:rPr>
          <w:rFonts w:hint="eastAsia"/>
          <w:b/>
          <w:lang w:val="en-US"/>
        </w:rPr>
        <w:t>《</w:t>
      </w:r>
      <w:r>
        <w:rPr>
          <w:b/>
          <w:lang w:val="en-US"/>
        </w:rPr>
        <w:t>建筑采光设计标准</w:t>
      </w:r>
      <w:r>
        <w:rPr>
          <w:rFonts w:hint="eastAsia"/>
          <w:b/>
          <w:lang w:val="en-US"/>
        </w:rPr>
        <w:t>》</w:t>
      </w:r>
      <w:r>
        <w:rPr>
          <w:b/>
          <w:lang w:val="en-US"/>
        </w:rPr>
        <w:t>GB 50033</w:t>
      </w:r>
    </w:p>
    <w:p>
      <w:pPr>
        <w:pStyle w:val="3"/>
        <w:ind w:firstLine="420" w:firstLineChars="200"/>
        <w:rPr>
          <w:rFonts w:hint="eastAsia"/>
        </w:rPr>
      </w:pPr>
      <w:r>
        <w:rPr>
          <w:rFonts w:hint="eastAsia"/>
        </w:rPr>
        <w:t>采光要求</w:t>
      </w:r>
      <w:r>
        <w:t>需要根据场所的视觉</w:t>
      </w:r>
      <w:r>
        <w:rPr>
          <w:rFonts w:hint="eastAsia"/>
        </w:rPr>
        <w:t>活动</w:t>
      </w:r>
      <w:r>
        <w:t>特点及现行国家标准</w:t>
      </w:r>
      <w:r>
        <w:rPr>
          <w:rFonts w:hint="eastAsia"/>
        </w:rPr>
        <w:t>《</w:t>
      </w:r>
      <w:r>
        <w:t>建筑采光设计标准</w:t>
      </w:r>
      <w:r>
        <w:rPr>
          <w:rFonts w:hint="eastAsia"/>
        </w:rPr>
        <w:t>》</w:t>
      </w:r>
      <w:r>
        <w:t>GB 50033</w:t>
      </w:r>
      <w:r>
        <w:rPr>
          <w:rFonts w:hint="eastAsia"/>
        </w:rPr>
        <w:t>对于</w:t>
      </w:r>
      <w:r>
        <w:t>不同场所的采光</w:t>
      </w:r>
      <w:r>
        <w:rPr>
          <w:rFonts w:hint="eastAsia"/>
        </w:rPr>
        <w:t>照度</w:t>
      </w:r>
      <w:r>
        <w:t>标准值的规定来确定</w:t>
      </w:r>
      <w:r>
        <w:rPr>
          <w:rFonts w:hint="eastAsia"/>
        </w:rPr>
        <w:t>。本项目为</w:t>
      </w:r>
      <w:bookmarkStart w:id="35" w:name="建筑类型"/>
      <w:r>
        <w:rPr>
          <w:rFonts w:hint="eastAsia"/>
        </w:rPr>
        <w:t>展览建筑、居住建筑</w:t>
      </w:r>
      <w:bookmarkEnd w:id="35"/>
      <w:r>
        <w:rPr>
          <w:rFonts w:hint="eastAsia"/>
        </w:rPr>
        <w:t>，</w:t>
      </w:r>
      <w:r>
        <w:t>根据</w:t>
      </w:r>
      <w:r>
        <w:rPr>
          <w:rFonts w:hint="eastAsia"/>
        </w:rPr>
        <w:t>标准要求的采光照度值根据对应</w:t>
      </w:r>
      <w:r>
        <w:t>房间类型</w:t>
      </w:r>
      <w:r>
        <w:rPr>
          <w:rFonts w:hint="eastAsia"/>
        </w:rPr>
        <w:t>确定。</w:t>
      </w:r>
    </w:p>
    <w:p>
      <w:pPr>
        <w:ind w:firstLine="420"/>
        <w:jc w:val="left"/>
        <w:rPr>
          <w:rFonts w:ascii="微软雅黑" w:hAnsi="微软雅黑" w:eastAsia="微软雅黑"/>
        </w:rPr>
      </w:pPr>
      <w:r>
        <w:rPr>
          <w:rFonts w:ascii="微软雅黑" w:hAnsi="微软雅黑" w:eastAsia="微软雅黑"/>
        </w:rPr>
        <w:t>4.0.3  住宅建筑的采光标准值不应低于表4.0.3的规定。</w:t>
      </w:r>
    </w:p>
    <w:p>
      <w:pPr>
        <w:ind w:left="902" w:firstLine="0" w:firstLineChars="0"/>
        <w:jc w:val="center"/>
        <w:rPr>
          <w:szCs w:val="21"/>
        </w:rPr>
      </w:pPr>
      <w:r>
        <w:rPr>
          <w:szCs w:val="21"/>
        </w:rPr>
        <w:t>表4.0.3  住宅建筑的采光标准值</w:t>
      </w:r>
    </w:p>
    <w:tbl>
      <w:tblPr>
        <w:tblStyle w:val="2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709"/>
        <w:gridCol w:w="2962"/>
        <w:gridCol w:w="2126"/>
        <w:gridCol w:w="285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7" w:hRule="exact"/>
          <w:jc w:val="center"/>
        </w:trPr>
        <w:tc>
          <w:tcPr>
            <w:tcW w:w="709" w:type="dxa"/>
            <w:vMerge w:val="restart"/>
            <w:vAlign w:val="center"/>
          </w:tcPr>
          <w:p>
            <w:pPr>
              <w:jc w:val="center"/>
            </w:pPr>
            <w:r>
              <w:t>采光等级</w:t>
            </w:r>
          </w:p>
        </w:tc>
        <w:tc>
          <w:tcPr>
            <w:tcW w:w="2962" w:type="dxa"/>
            <w:vMerge w:val="restart"/>
            <w:vAlign w:val="center"/>
          </w:tcPr>
          <w:p>
            <w:pPr>
              <w:jc w:val="center"/>
              <w:rPr>
                <w:kern w:val="2"/>
              </w:rPr>
            </w:pPr>
            <w:r>
              <w:t>场所名称</w:t>
            </w:r>
          </w:p>
        </w:tc>
        <w:tc>
          <w:tcPr>
            <w:tcW w:w="4976" w:type="dxa"/>
            <w:gridSpan w:val="2"/>
            <w:vAlign w:val="center"/>
          </w:tcPr>
          <w:p>
            <w:pPr>
              <w:jc w:val="center"/>
              <w:rPr>
                <w:kern w:val="2"/>
              </w:rPr>
            </w:pPr>
            <w:r>
              <w:t>侧面采光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44" w:hRule="exact"/>
          <w:jc w:val="center"/>
        </w:trPr>
        <w:tc>
          <w:tcPr>
            <w:tcW w:w="709" w:type="dxa"/>
            <w:vMerge w:val="continue"/>
            <w:vAlign w:val="center"/>
          </w:tcPr>
          <w:p>
            <w:pPr>
              <w:jc w:val="center"/>
            </w:pPr>
          </w:p>
        </w:tc>
        <w:tc>
          <w:tcPr>
            <w:tcW w:w="2962" w:type="dxa"/>
            <w:vMerge w:val="continue"/>
            <w:vAlign w:val="center"/>
          </w:tcPr>
          <w:p>
            <w:pPr>
              <w:jc w:val="center"/>
            </w:pPr>
          </w:p>
        </w:tc>
        <w:tc>
          <w:tcPr>
            <w:tcW w:w="2126" w:type="dxa"/>
            <w:vAlign w:val="center"/>
          </w:tcPr>
          <w:p>
            <w:pPr>
              <w:jc w:val="center"/>
            </w:pPr>
            <w:r>
              <w:t>采光系数标准值（%）</w:t>
            </w:r>
          </w:p>
        </w:tc>
        <w:tc>
          <w:tcPr>
            <w:tcW w:w="2850" w:type="dxa"/>
            <w:vAlign w:val="center"/>
          </w:tcPr>
          <w:p>
            <w:pPr>
              <w:jc w:val="center"/>
            </w:pPr>
            <w:r>
              <w:t>室内天然光照度标准值</w:t>
            </w:r>
            <w:r>
              <w:rPr>
                <w:rFonts w:hint="eastAsia"/>
              </w:rPr>
              <w:t>（lx</w:t>
            </w:r>
            <w: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7" w:hRule="exact"/>
          <w:jc w:val="center"/>
        </w:trPr>
        <w:tc>
          <w:tcPr>
            <w:tcW w:w="709" w:type="dxa"/>
            <w:vAlign w:val="center"/>
          </w:tcPr>
          <w:p>
            <w:pPr>
              <w:jc w:val="center"/>
            </w:pPr>
            <w:r>
              <w:t>Ⅳ</w:t>
            </w:r>
          </w:p>
        </w:tc>
        <w:tc>
          <w:tcPr>
            <w:tcW w:w="2962" w:type="dxa"/>
            <w:vAlign w:val="center"/>
          </w:tcPr>
          <w:p>
            <w:pPr>
              <w:jc w:val="center"/>
            </w:pPr>
            <w:r>
              <w:t>厨房</w:t>
            </w:r>
          </w:p>
        </w:tc>
        <w:tc>
          <w:tcPr>
            <w:tcW w:w="2126" w:type="dxa"/>
            <w:vAlign w:val="center"/>
          </w:tcPr>
          <w:p>
            <w:pPr>
              <w:jc w:val="center"/>
            </w:pPr>
            <w:r>
              <w:t>2.0</w:t>
            </w:r>
          </w:p>
        </w:tc>
        <w:tc>
          <w:tcPr>
            <w:tcW w:w="2850" w:type="dxa"/>
            <w:vAlign w:val="center"/>
          </w:tcPr>
          <w:p>
            <w:pPr>
              <w:jc w:val="center"/>
            </w:pPr>
            <w:r>
              <w:t>300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7" w:hRule="exact"/>
          <w:jc w:val="center"/>
        </w:trPr>
        <w:tc>
          <w:tcPr>
            <w:tcW w:w="709" w:type="dxa"/>
            <w:vAlign w:val="center"/>
          </w:tcPr>
          <w:p>
            <w:pPr>
              <w:jc w:val="center"/>
            </w:pPr>
            <w:r>
              <w:t>Ⅴ</w:t>
            </w:r>
          </w:p>
        </w:tc>
        <w:tc>
          <w:tcPr>
            <w:tcW w:w="2962" w:type="dxa"/>
            <w:vAlign w:val="center"/>
          </w:tcPr>
          <w:p>
            <w:pPr>
              <w:jc w:val="center"/>
            </w:pPr>
            <w:r>
              <w:t>卫生间、过道、餐厅</w:t>
            </w:r>
            <w:r>
              <w:rPr>
                <w:rFonts w:hint="eastAsia"/>
              </w:rPr>
              <w:t>、</w:t>
            </w:r>
            <w:r>
              <w:t>楼梯间</w:t>
            </w:r>
          </w:p>
        </w:tc>
        <w:tc>
          <w:tcPr>
            <w:tcW w:w="2126" w:type="dxa"/>
            <w:vAlign w:val="center"/>
          </w:tcPr>
          <w:p>
            <w:pPr>
              <w:jc w:val="center"/>
            </w:pPr>
            <w:r>
              <w:t>1.0</w:t>
            </w:r>
          </w:p>
          <w:p>
            <w:pPr>
              <w:jc w:val="center"/>
            </w:pPr>
          </w:p>
        </w:tc>
        <w:tc>
          <w:tcPr>
            <w:tcW w:w="2850" w:type="dxa"/>
            <w:vAlign w:val="center"/>
          </w:tcPr>
          <w:p>
            <w:pPr>
              <w:jc w:val="center"/>
            </w:pPr>
            <w:r>
              <w:t>150</w:t>
            </w:r>
          </w:p>
        </w:tc>
      </w:tr>
      <w:bookmarkEnd w:id="1"/>
    </w:tbl>
    <w:p>
      <w:pPr>
        <w:ind w:firstLine="199" w:firstLineChars="95"/>
        <w:jc w:val="left"/>
        <w:rPr>
          <w:rFonts w:ascii="微软雅黑" w:hAnsi="微软雅黑" w:eastAsia="微软雅黑"/>
        </w:rPr>
      </w:pPr>
      <w:r>
        <w:rPr>
          <w:rFonts w:ascii="微软雅黑" w:hAnsi="微软雅黑" w:eastAsia="微软雅黑"/>
        </w:rPr>
        <w:t>4.0.</w:t>
      </w:r>
      <w:r>
        <w:rPr>
          <w:rFonts w:hint="eastAsia" w:ascii="微软雅黑" w:hAnsi="微软雅黑" w:eastAsia="微软雅黑"/>
        </w:rPr>
        <w:t>12</w:t>
      </w:r>
      <w:r>
        <w:rPr>
          <w:rFonts w:ascii="微软雅黑" w:hAnsi="微软雅黑" w:eastAsia="微软雅黑"/>
        </w:rPr>
        <w:t xml:space="preserve"> </w:t>
      </w:r>
      <w:r>
        <w:rPr>
          <w:rFonts w:hint="eastAsia" w:ascii="微软雅黑" w:hAnsi="微软雅黑" w:eastAsia="微软雅黑"/>
        </w:rPr>
        <w:t>展览建筑的采光标准值不应低于表4.0.12的规定。</w:t>
      </w:r>
    </w:p>
    <w:p>
      <w:pPr>
        <w:ind w:left="902" w:firstLine="0" w:firstLineChars="0"/>
        <w:jc w:val="center"/>
        <w:rPr>
          <w:szCs w:val="21"/>
        </w:rPr>
      </w:pPr>
      <w:r>
        <w:rPr>
          <w:rFonts w:hint="eastAsia"/>
          <w:szCs w:val="21"/>
        </w:rPr>
        <w:t>表</w:t>
      </w:r>
      <w:r>
        <w:rPr>
          <w:szCs w:val="21"/>
        </w:rPr>
        <w:t>4.0.</w:t>
      </w:r>
      <w:r>
        <w:rPr>
          <w:rFonts w:hint="eastAsia"/>
          <w:szCs w:val="21"/>
        </w:rPr>
        <w:t>12</w:t>
      </w:r>
      <w:r>
        <w:rPr>
          <w:szCs w:val="21"/>
        </w:rPr>
        <w:t xml:space="preserve">  </w:t>
      </w:r>
      <w:r>
        <w:rPr>
          <w:rFonts w:hint="eastAsia"/>
          <w:szCs w:val="21"/>
        </w:rPr>
        <w:t>展览建筑的采光标准值</w:t>
      </w:r>
    </w:p>
    <w:tbl>
      <w:tblPr>
        <w:tblStyle w:val="2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693"/>
        <w:gridCol w:w="1276"/>
        <w:gridCol w:w="1321"/>
        <w:gridCol w:w="1134"/>
        <w:gridCol w:w="157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restart"/>
            <w:vAlign w:val="center"/>
          </w:tcPr>
          <w:p>
            <w:pPr>
              <w:widowControl w:val="0"/>
              <w:rPr>
                <w:szCs w:val="18"/>
              </w:rPr>
            </w:pPr>
            <w:r>
              <w:rPr>
                <w:rFonts w:hint="eastAsia"/>
                <w:szCs w:val="18"/>
              </w:rPr>
              <w:t>采光等级</w:t>
            </w:r>
          </w:p>
        </w:tc>
        <w:tc>
          <w:tcPr>
            <w:tcW w:w="2693" w:type="dxa"/>
            <w:vMerge w:val="restart"/>
            <w:vAlign w:val="center"/>
          </w:tcPr>
          <w:p>
            <w:pPr>
              <w:widowControl w:val="0"/>
              <w:jc w:val="center"/>
              <w:rPr>
                <w:szCs w:val="18"/>
              </w:rPr>
            </w:pPr>
            <w:r>
              <w:rPr>
                <w:rFonts w:hint="eastAsia"/>
                <w:szCs w:val="18"/>
              </w:rPr>
              <w:t>场所名称</w:t>
            </w:r>
          </w:p>
        </w:tc>
        <w:tc>
          <w:tcPr>
            <w:tcW w:w="2597" w:type="dxa"/>
            <w:gridSpan w:val="2"/>
            <w:vAlign w:val="center"/>
          </w:tcPr>
          <w:p>
            <w:pPr>
              <w:widowControl w:val="0"/>
              <w:jc w:val="center"/>
              <w:rPr>
                <w:szCs w:val="18"/>
              </w:rPr>
            </w:pPr>
            <w:r>
              <w:rPr>
                <w:rFonts w:hint="eastAsia"/>
                <w:szCs w:val="18"/>
              </w:rPr>
              <w:t>侧面采光</w:t>
            </w:r>
          </w:p>
        </w:tc>
        <w:tc>
          <w:tcPr>
            <w:tcW w:w="2708" w:type="dxa"/>
            <w:gridSpan w:val="2"/>
          </w:tcPr>
          <w:p>
            <w:pPr>
              <w:widowControl w:val="0"/>
              <w:jc w:val="center"/>
              <w:rPr>
                <w:szCs w:val="18"/>
              </w:rPr>
            </w:pPr>
            <w:r>
              <w:rPr>
                <w:rFonts w:hint="eastAsia"/>
                <w:szCs w:val="18"/>
              </w:rPr>
              <w:t>顶部采光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continue"/>
            <w:vAlign w:val="center"/>
          </w:tcPr>
          <w:p>
            <w:pPr>
              <w:widowControl w:val="0"/>
              <w:rPr>
                <w:szCs w:val="18"/>
              </w:rPr>
            </w:pPr>
          </w:p>
        </w:tc>
        <w:tc>
          <w:tcPr>
            <w:tcW w:w="2693" w:type="dxa"/>
            <w:vMerge w:val="continue"/>
            <w:vAlign w:val="center"/>
          </w:tcPr>
          <w:p>
            <w:pPr>
              <w:widowControl w:val="0"/>
              <w:rPr>
                <w:szCs w:val="18"/>
              </w:rPr>
            </w:pPr>
          </w:p>
        </w:tc>
        <w:tc>
          <w:tcPr>
            <w:tcW w:w="1276" w:type="dxa"/>
            <w:vAlign w:val="center"/>
          </w:tcPr>
          <w:p>
            <w:pPr>
              <w:widowControl w:val="0"/>
              <w:jc w:val="center"/>
              <w:rPr>
                <w:szCs w:val="18"/>
              </w:rPr>
            </w:pPr>
            <w:r>
              <w:rPr>
                <w:rFonts w:hint="eastAsia"/>
                <w:szCs w:val="18"/>
              </w:rPr>
              <w:t>采光系数</w:t>
            </w:r>
          </w:p>
          <w:p>
            <w:pPr>
              <w:widowControl w:val="0"/>
              <w:jc w:val="center"/>
              <w:rPr>
                <w:szCs w:val="18"/>
              </w:rPr>
            </w:pPr>
            <w:r>
              <w:rPr>
                <w:rFonts w:hint="eastAsia"/>
                <w:szCs w:val="18"/>
              </w:rPr>
              <w:t>标准值（%）</w:t>
            </w:r>
          </w:p>
        </w:tc>
        <w:tc>
          <w:tcPr>
            <w:tcW w:w="1321" w:type="dxa"/>
            <w:vAlign w:val="center"/>
          </w:tcPr>
          <w:p>
            <w:pPr>
              <w:widowControl w:val="0"/>
              <w:jc w:val="center"/>
              <w:rPr>
                <w:szCs w:val="18"/>
              </w:rPr>
            </w:pPr>
            <w:r>
              <w:rPr>
                <w:rFonts w:hint="eastAsia"/>
                <w:szCs w:val="18"/>
              </w:rPr>
              <w:t>室</w:t>
            </w:r>
            <w:r>
              <w:rPr>
                <w:rFonts w:hint="eastAsia"/>
                <w:szCs w:val="21"/>
              </w:rPr>
              <w:t>内</w:t>
            </w:r>
            <w:r>
              <w:rPr>
                <w:rFonts w:hint="eastAsia"/>
                <w:szCs w:val="18"/>
              </w:rPr>
              <w:t>天然光照度标准值（lx）</w:t>
            </w:r>
          </w:p>
        </w:tc>
        <w:tc>
          <w:tcPr>
            <w:tcW w:w="1134" w:type="dxa"/>
            <w:vAlign w:val="center"/>
          </w:tcPr>
          <w:p>
            <w:pPr>
              <w:widowControl w:val="0"/>
              <w:jc w:val="center"/>
              <w:rPr>
                <w:szCs w:val="18"/>
              </w:rPr>
            </w:pPr>
            <w:r>
              <w:rPr>
                <w:rFonts w:hint="eastAsia"/>
                <w:szCs w:val="18"/>
              </w:rPr>
              <w:t>采光系数标准值（%）</w:t>
            </w:r>
          </w:p>
        </w:tc>
        <w:tc>
          <w:tcPr>
            <w:tcW w:w="1574" w:type="dxa"/>
            <w:vAlign w:val="center"/>
          </w:tcPr>
          <w:p>
            <w:pPr>
              <w:widowControl w:val="0"/>
              <w:jc w:val="center"/>
              <w:rPr>
                <w:szCs w:val="18"/>
              </w:rPr>
            </w:pPr>
            <w:r>
              <w:rPr>
                <w:rFonts w:hint="eastAsia"/>
                <w:szCs w:val="18"/>
              </w:rPr>
              <w:t>室</w:t>
            </w:r>
            <w:r>
              <w:rPr>
                <w:rFonts w:hint="eastAsia"/>
                <w:szCs w:val="21"/>
              </w:rPr>
              <w:t>内</w:t>
            </w:r>
            <w:r>
              <w:rPr>
                <w:rFonts w:hint="eastAsia"/>
                <w:szCs w:val="18"/>
              </w:rPr>
              <w:t>天然光照度标准值（lx）</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5" w:hRule="exact"/>
          <w:jc w:val="center"/>
        </w:trPr>
        <w:tc>
          <w:tcPr>
            <w:tcW w:w="694" w:type="dxa"/>
            <w:vAlign w:val="center"/>
          </w:tcPr>
          <w:p>
            <w:pPr>
              <w:widowControl w:val="0"/>
              <w:jc w:val="center"/>
              <w:rPr>
                <w:szCs w:val="18"/>
              </w:rPr>
            </w:pPr>
            <w:r>
              <w:rPr>
                <w:rFonts w:hint="eastAsia"/>
                <w:szCs w:val="18"/>
              </w:rPr>
              <w:t>Ⅲ</w:t>
            </w:r>
          </w:p>
        </w:tc>
        <w:tc>
          <w:tcPr>
            <w:tcW w:w="2693" w:type="dxa"/>
            <w:vAlign w:val="center"/>
          </w:tcPr>
          <w:p>
            <w:pPr>
              <w:widowControl w:val="0"/>
              <w:rPr>
                <w:szCs w:val="18"/>
              </w:rPr>
            </w:pPr>
            <w:r>
              <w:rPr>
                <w:rFonts w:hint="eastAsia"/>
                <w:szCs w:val="18"/>
              </w:rPr>
              <w:t>展厅（单层及顶层）</w:t>
            </w:r>
          </w:p>
        </w:tc>
        <w:tc>
          <w:tcPr>
            <w:tcW w:w="1276" w:type="dxa"/>
            <w:vAlign w:val="center"/>
          </w:tcPr>
          <w:p>
            <w:pPr>
              <w:widowControl w:val="0"/>
              <w:jc w:val="center"/>
              <w:rPr>
                <w:szCs w:val="18"/>
              </w:rPr>
            </w:pPr>
            <w:r>
              <w:rPr>
                <w:rFonts w:hint="eastAsia"/>
                <w:szCs w:val="18"/>
              </w:rPr>
              <w:t>3.0</w:t>
            </w:r>
          </w:p>
        </w:tc>
        <w:tc>
          <w:tcPr>
            <w:tcW w:w="1321" w:type="dxa"/>
            <w:vAlign w:val="center"/>
          </w:tcPr>
          <w:p>
            <w:pPr>
              <w:widowControl w:val="0"/>
              <w:jc w:val="center"/>
              <w:rPr>
                <w:szCs w:val="18"/>
              </w:rPr>
            </w:pPr>
            <w:r>
              <w:rPr>
                <w:rFonts w:hint="eastAsia"/>
                <w:szCs w:val="18"/>
              </w:rPr>
              <w:t>450</w:t>
            </w:r>
          </w:p>
        </w:tc>
        <w:tc>
          <w:tcPr>
            <w:tcW w:w="1134" w:type="dxa"/>
            <w:vAlign w:val="center"/>
          </w:tcPr>
          <w:p>
            <w:pPr>
              <w:widowControl w:val="0"/>
              <w:jc w:val="center"/>
              <w:rPr>
                <w:szCs w:val="18"/>
              </w:rPr>
            </w:pPr>
            <w:r>
              <w:rPr>
                <w:rFonts w:hint="eastAsia"/>
                <w:szCs w:val="18"/>
              </w:rPr>
              <w:t>2.0</w:t>
            </w:r>
          </w:p>
        </w:tc>
        <w:tc>
          <w:tcPr>
            <w:tcW w:w="1574" w:type="dxa"/>
            <w:vAlign w:val="center"/>
          </w:tcPr>
          <w:p>
            <w:pPr>
              <w:widowControl w:val="0"/>
              <w:jc w:val="center"/>
              <w:rPr>
                <w:szCs w:val="18"/>
              </w:rPr>
            </w:pPr>
            <w:r>
              <w:rPr>
                <w:rFonts w:hint="eastAsia"/>
                <w:szCs w:val="18"/>
              </w:rPr>
              <w:t>300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5" w:hRule="exact"/>
          <w:jc w:val="center"/>
        </w:trPr>
        <w:tc>
          <w:tcPr>
            <w:tcW w:w="694" w:type="dxa"/>
            <w:vAlign w:val="center"/>
          </w:tcPr>
          <w:p>
            <w:pPr>
              <w:widowControl w:val="0"/>
              <w:jc w:val="center"/>
              <w:rPr>
                <w:szCs w:val="18"/>
              </w:rPr>
            </w:pPr>
            <w:r>
              <w:rPr>
                <w:rFonts w:hint="eastAsia"/>
                <w:szCs w:val="18"/>
              </w:rPr>
              <w:t>Ⅳ</w:t>
            </w:r>
          </w:p>
        </w:tc>
        <w:tc>
          <w:tcPr>
            <w:tcW w:w="2693" w:type="dxa"/>
            <w:vAlign w:val="center"/>
          </w:tcPr>
          <w:p>
            <w:pPr>
              <w:widowControl w:val="0"/>
              <w:rPr>
                <w:szCs w:val="18"/>
              </w:rPr>
            </w:pPr>
            <w:r>
              <w:rPr>
                <w:rFonts w:hint="eastAsia"/>
                <w:szCs w:val="18"/>
              </w:rPr>
              <w:t>登录厅、连接通道</w:t>
            </w:r>
          </w:p>
        </w:tc>
        <w:tc>
          <w:tcPr>
            <w:tcW w:w="1276" w:type="dxa"/>
            <w:vAlign w:val="center"/>
          </w:tcPr>
          <w:p>
            <w:pPr>
              <w:widowControl w:val="0"/>
              <w:jc w:val="center"/>
              <w:rPr>
                <w:szCs w:val="18"/>
              </w:rPr>
            </w:pPr>
            <w:r>
              <w:rPr>
                <w:rFonts w:hint="eastAsia"/>
                <w:szCs w:val="18"/>
              </w:rPr>
              <w:t>2.0</w:t>
            </w:r>
          </w:p>
        </w:tc>
        <w:tc>
          <w:tcPr>
            <w:tcW w:w="1321" w:type="dxa"/>
            <w:vAlign w:val="center"/>
          </w:tcPr>
          <w:p>
            <w:pPr>
              <w:widowControl w:val="0"/>
              <w:jc w:val="center"/>
              <w:rPr>
                <w:szCs w:val="18"/>
              </w:rPr>
            </w:pPr>
            <w:r>
              <w:rPr>
                <w:rFonts w:hint="eastAsia"/>
                <w:szCs w:val="18"/>
              </w:rPr>
              <w:t>300</w:t>
            </w:r>
          </w:p>
        </w:tc>
        <w:tc>
          <w:tcPr>
            <w:tcW w:w="1134" w:type="dxa"/>
            <w:vAlign w:val="center"/>
          </w:tcPr>
          <w:p>
            <w:pPr>
              <w:widowControl w:val="0"/>
              <w:jc w:val="center"/>
              <w:rPr>
                <w:szCs w:val="18"/>
              </w:rPr>
            </w:pPr>
            <w:r>
              <w:rPr>
                <w:rFonts w:hint="eastAsia"/>
                <w:szCs w:val="18"/>
              </w:rPr>
              <w:t>1.0</w:t>
            </w:r>
          </w:p>
        </w:tc>
        <w:tc>
          <w:tcPr>
            <w:tcW w:w="1574" w:type="dxa"/>
            <w:vAlign w:val="center"/>
          </w:tcPr>
          <w:p>
            <w:pPr>
              <w:widowControl w:val="0"/>
              <w:jc w:val="center"/>
              <w:rPr>
                <w:szCs w:val="18"/>
              </w:rPr>
            </w:pPr>
            <w:r>
              <w:rPr>
                <w:rFonts w:hint="eastAsia"/>
                <w:szCs w:val="18"/>
              </w:rPr>
              <w:t>150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6" w:hRule="exact"/>
          <w:jc w:val="center"/>
        </w:trPr>
        <w:tc>
          <w:tcPr>
            <w:tcW w:w="694" w:type="dxa"/>
            <w:vAlign w:val="center"/>
          </w:tcPr>
          <w:p>
            <w:pPr>
              <w:widowControl w:val="0"/>
              <w:jc w:val="center"/>
              <w:rPr>
                <w:szCs w:val="18"/>
              </w:rPr>
            </w:pPr>
            <w:r>
              <w:rPr>
                <w:rFonts w:hint="eastAsia"/>
                <w:szCs w:val="18"/>
              </w:rPr>
              <w:t>Ⅴ</w:t>
            </w:r>
          </w:p>
        </w:tc>
        <w:tc>
          <w:tcPr>
            <w:tcW w:w="2693" w:type="dxa"/>
            <w:vAlign w:val="center"/>
          </w:tcPr>
          <w:p>
            <w:pPr>
              <w:widowControl w:val="0"/>
              <w:rPr>
                <w:szCs w:val="18"/>
              </w:rPr>
            </w:pPr>
            <w:r>
              <w:rPr>
                <w:rFonts w:hint="eastAsia"/>
                <w:szCs w:val="18"/>
              </w:rPr>
              <w:t>库房、楼梯间、卫生间</w:t>
            </w:r>
          </w:p>
        </w:tc>
        <w:tc>
          <w:tcPr>
            <w:tcW w:w="1276" w:type="dxa"/>
            <w:vAlign w:val="center"/>
          </w:tcPr>
          <w:p>
            <w:pPr>
              <w:widowControl w:val="0"/>
              <w:jc w:val="center"/>
              <w:rPr>
                <w:szCs w:val="18"/>
              </w:rPr>
            </w:pPr>
            <w:r>
              <w:rPr>
                <w:rFonts w:hint="eastAsia"/>
                <w:szCs w:val="18"/>
              </w:rPr>
              <w:t>1.0</w:t>
            </w:r>
          </w:p>
        </w:tc>
        <w:tc>
          <w:tcPr>
            <w:tcW w:w="1321" w:type="dxa"/>
            <w:vAlign w:val="center"/>
          </w:tcPr>
          <w:p>
            <w:pPr>
              <w:widowControl w:val="0"/>
              <w:jc w:val="center"/>
              <w:rPr>
                <w:szCs w:val="18"/>
              </w:rPr>
            </w:pPr>
            <w:r>
              <w:rPr>
                <w:rFonts w:hint="eastAsia"/>
                <w:szCs w:val="18"/>
              </w:rPr>
              <w:t>150</w:t>
            </w:r>
          </w:p>
        </w:tc>
        <w:tc>
          <w:tcPr>
            <w:tcW w:w="1134" w:type="dxa"/>
            <w:vAlign w:val="center"/>
          </w:tcPr>
          <w:p>
            <w:pPr>
              <w:widowControl w:val="0"/>
              <w:jc w:val="center"/>
              <w:rPr>
                <w:szCs w:val="18"/>
              </w:rPr>
            </w:pPr>
            <w:r>
              <w:rPr>
                <w:rFonts w:hint="eastAsia"/>
                <w:szCs w:val="18"/>
              </w:rPr>
              <w:t>0.5</w:t>
            </w:r>
          </w:p>
        </w:tc>
        <w:tc>
          <w:tcPr>
            <w:tcW w:w="1574" w:type="dxa"/>
            <w:vAlign w:val="center"/>
          </w:tcPr>
          <w:p>
            <w:pPr>
              <w:widowControl w:val="0"/>
              <w:jc w:val="center"/>
              <w:rPr>
                <w:szCs w:val="18"/>
              </w:rPr>
            </w:pPr>
            <w:r>
              <w:rPr>
                <w:rFonts w:hint="eastAsia"/>
                <w:szCs w:val="18"/>
              </w:rPr>
              <w:t>75</w:t>
            </w:r>
          </w:p>
        </w:tc>
      </w:tr>
      <w:bookmarkEnd w:id="7"/>
    </w:tbl>
    <w:p>
      <w:pPr>
        <w:pStyle w:val="3"/>
        <w:ind w:firstLine="420" w:firstLineChars="200"/>
        <w:rPr>
          <w:rFonts w:hint="eastAsia"/>
        </w:rPr>
      </w:pPr>
      <w:r>
        <w:t>《</w:t>
      </w:r>
      <w:r>
        <w:rPr>
          <w:rFonts w:hint="eastAsia"/>
        </w:rPr>
        <w:t>建筑环境通用规范</w:t>
      </w:r>
      <w:r>
        <w:t>》GB 55016-2021</w:t>
      </w:r>
      <w:r>
        <w:rPr>
          <w:rFonts w:hint="eastAsia"/>
        </w:rPr>
        <w:t>采光照度要求</w:t>
      </w:r>
      <w:r>
        <w:t>一般病房的</w:t>
      </w:r>
      <w:r>
        <w:rPr>
          <w:rFonts w:hint="eastAsia"/>
        </w:rPr>
        <w:t>采</w:t>
      </w:r>
      <w:r>
        <w:t>光等级不应低于</w:t>
      </w:r>
      <w:r>
        <w:rPr>
          <w:rFonts w:hint="eastAsia"/>
        </w:rPr>
        <w:t>Ⅳ</w:t>
      </w:r>
      <w:r>
        <w:t>级的要求</w:t>
      </w:r>
      <w:r>
        <w:rPr>
          <w:rFonts w:hint="eastAsia"/>
        </w:rPr>
        <w:t>；</w:t>
      </w:r>
      <w:r>
        <w:t>普通教室的采光等级不应低于Ⅲ级的要求</w:t>
      </w:r>
      <w:r>
        <w:rPr>
          <w:rFonts w:hint="eastAsia"/>
        </w:rPr>
        <w:t>。</w:t>
      </w:r>
    </w:p>
    <w:p>
      <w:pPr>
        <w:jc w:val="both"/>
        <w:rPr>
          <w:rFonts w:hint="eastAsia"/>
          <w:sz w:val="24"/>
        </w:rPr>
      </w:pPr>
    </w:p>
    <w:p>
      <w:pPr>
        <w:pStyle w:val="3"/>
        <w:spacing w:line="360" w:lineRule="auto"/>
        <w:ind w:firstLine="420"/>
        <w:rPr>
          <w:rFonts w:hint="eastAsia"/>
          <w:b/>
          <w:lang w:val="en-US"/>
        </w:rPr>
      </w:pPr>
      <w:r>
        <w:rPr>
          <w:rFonts w:hint="eastAsia"/>
          <w:lang w:val="en-US"/>
        </w:rPr>
        <w:t>■</w:t>
      </w:r>
      <w:r>
        <w:rPr>
          <w:rFonts w:hint="eastAsia"/>
          <w:b/>
          <w:lang w:val="en-US"/>
        </w:rPr>
        <w:t>《绿色建筑评价标准技术细则2019》</w:t>
      </w:r>
    </w:p>
    <w:p>
      <w:pPr>
        <w:pStyle w:val="3"/>
        <w:ind w:left="420" w:leftChars="200"/>
        <w:rPr>
          <w:rFonts w:hint="eastAsia"/>
        </w:rPr>
      </w:pPr>
      <w:r>
        <w:t>1.</w:t>
      </w:r>
      <w:r>
        <w:rPr>
          <w:rFonts w:hint="eastAsia"/>
        </w:rPr>
        <w:t>公共建筑主要功能房间采用全年中建筑空间各位置</w:t>
      </w:r>
      <w:r>
        <w:rPr>
          <w:rFonts w:hint="eastAsia"/>
          <w:b/>
        </w:rPr>
        <w:t>满足采光照度的时长</w:t>
      </w:r>
      <w:r>
        <w:rPr>
          <w:rFonts w:hint="eastAsia"/>
        </w:rPr>
        <w:t>进行采光效果评价；</w:t>
      </w:r>
    </w:p>
    <w:p>
      <w:pPr>
        <w:pStyle w:val="3"/>
        <w:ind w:left="420" w:leftChars="200"/>
        <w:rPr>
          <w:rFonts w:hint="eastAsia"/>
        </w:rPr>
      </w:pPr>
      <w:r>
        <w:t>2</w:t>
      </w:r>
      <w:r>
        <w:rPr>
          <w:rFonts w:hint="eastAsia"/>
        </w:rPr>
        <w:t>.满足要求的采光照度值为</w:t>
      </w:r>
      <w:r>
        <w:rPr>
          <w:rFonts w:hint="eastAsia"/>
          <w:b/>
        </w:rPr>
        <w:t>平均值</w:t>
      </w:r>
      <w:r>
        <w:rPr>
          <w:rFonts w:hint="eastAsia"/>
        </w:rPr>
        <w:t>，即照度平均值需超过《建筑采光设计标准》G</w:t>
      </w:r>
      <w:r>
        <w:t>B50033</w:t>
      </w:r>
      <w:r>
        <w:rPr>
          <w:rFonts w:hint="eastAsia"/>
        </w:rPr>
        <w:t>中室内照度标准值。</w:t>
      </w:r>
    </w:p>
    <w:p>
      <w:pPr>
        <w:pStyle w:val="3"/>
        <w:ind w:left="420" w:leftChars="200"/>
        <w:rPr>
          <w:rFonts w:hint="eastAsia"/>
        </w:rPr>
      </w:pPr>
      <w:r>
        <w:rPr>
          <w:rFonts w:hint="eastAsia"/>
        </w:rPr>
        <w:t>3</w:t>
      </w:r>
      <w:r>
        <w:t>.</w:t>
      </w:r>
      <w:r>
        <w:rPr>
          <w:rFonts w:hint="eastAsia"/>
        </w:rPr>
        <w:t>主要功能空间为《建筑采光设计标准》G</w:t>
      </w:r>
      <w:r>
        <w:t>B50033</w:t>
      </w:r>
      <w:r>
        <w:rPr>
          <w:rFonts w:hint="eastAsia"/>
        </w:rPr>
        <w:t>中</w:t>
      </w:r>
      <w:r>
        <w:rPr>
          <w:rFonts w:hint="eastAsia"/>
          <w:kern w:val="2"/>
        </w:rPr>
        <w:t>Ⅱ~</w:t>
      </w:r>
      <w:r>
        <w:rPr>
          <w:rFonts w:hint="eastAsia"/>
        </w:rPr>
        <w:t>Ⅳ级有采光标准值要求的场所。</w:t>
      </w:r>
    </w:p>
    <w:p>
      <w:pPr>
        <w:pStyle w:val="3"/>
        <w:ind w:left="420" w:leftChars="200"/>
        <w:rPr>
          <w:rFonts w:hint="eastAsia"/>
        </w:rPr>
      </w:pPr>
    </w:p>
    <w:p>
      <w:pPr>
        <w:pStyle w:val="3"/>
        <w:ind w:left="420" w:leftChars="200"/>
        <w:rPr>
          <w:rFonts w:hint="eastAsia"/>
        </w:rPr>
      </w:pPr>
      <w:r>
        <w:rPr>
          <w:rFonts w:hint="eastAsia"/>
          <w:b/>
          <w:lang w:val="en-US"/>
        </w:rPr>
        <w:t>《绿色建筑评价标准》GB/T 50378条文5</w:t>
      </w:r>
      <w:r>
        <w:rPr>
          <w:b/>
          <w:lang w:val="en-US"/>
        </w:rPr>
        <w:t>.2.8</w:t>
      </w:r>
      <w:r>
        <w:rPr>
          <w:rFonts w:hint="eastAsia"/>
          <w:b/>
          <w:lang w:val="en-US"/>
        </w:rPr>
        <w:t>要求采光模拟应符合</w:t>
      </w:r>
      <w:r>
        <w:rPr>
          <w:b/>
          <w:lang w:val="en-US"/>
        </w:rPr>
        <w:t>《民用建筑绿色性能计算标准》JGJ/T449</w:t>
      </w:r>
      <w:r>
        <w:rPr>
          <w:rFonts w:hint="eastAsia"/>
          <w:b/>
          <w:lang w:val="en-US"/>
        </w:rPr>
        <w:t>第6</w:t>
      </w:r>
      <w:r>
        <w:rPr>
          <w:b/>
          <w:lang w:val="en-US"/>
        </w:rPr>
        <w:t>.4.4</w:t>
      </w:r>
      <w:r>
        <w:rPr>
          <w:rFonts w:hint="eastAsia"/>
          <w:b/>
          <w:lang w:val="en-US"/>
        </w:rPr>
        <w:t>条要求</w:t>
      </w:r>
      <w:r>
        <w:rPr>
          <w:b/>
          <w:lang w:val="en-US"/>
        </w:rPr>
        <w:t xml:space="preserve">: </w:t>
      </w:r>
      <w:r>
        <w:rPr>
          <w:rFonts w:hint="eastAsia"/>
          <w:b/>
          <w:lang w:val="en-US"/>
        </w:rPr>
        <w:t>地上建筑模型应包括周边建筑物。</w:t>
      </w:r>
    </w:p>
    <w:p>
      <w:pPr>
        <w:pStyle w:val="3"/>
        <w:rPr>
          <w:rFonts w:hint="eastAsia"/>
        </w:rPr>
      </w:pPr>
    </w:p>
    <w:p>
      <w:pPr>
        <w:pStyle w:val="2"/>
        <w:ind w:left="432" w:hanging="432"/>
      </w:pPr>
      <w:bookmarkStart w:id="36" w:name="_Toc10608"/>
      <w:r>
        <w:rPr>
          <w:rFonts w:hint="eastAsia"/>
        </w:rPr>
        <w:t>动态采光</w:t>
      </w:r>
      <w:r>
        <w:t>概述</w:t>
      </w:r>
      <w:bookmarkEnd w:id="36"/>
    </w:p>
    <w:p>
      <w:pPr>
        <w:pStyle w:val="3"/>
        <w:ind w:firstLine="420" w:firstLineChars="200"/>
        <w:rPr>
          <w:rFonts w:hint="eastAsia"/>
        </w:rPr>
      </w:pPr>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pPr>
        <w:pStyle w:val="3"/>
        <w:ind w:firstLine="420" w:firstLineChars="200"/>
        <w:rPr>
          <w:rFonts w:hint="eastAsia"/>
        </w:rPr>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pPr>
        <w:pStyle w:val="3"/>
        <w:ind w:firstLine="420" w:firstLineChars="200"/>
        <w:rPr>
          <w:rFonts w:hint="eastAsia"/>
        </w:rPr>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bookmarkStart w:id="37" w:name="_Toc264043630"/>
      <w:bookmarkStart w:id="38" w:name="_Toc264569237"/>
      <w:bookmarkStart w:id="39" w:name="_Toc290209317"/>
      <w:bookmarkStart w:id="40" w:name="_Toc275165387"/>
      <w:bookmarkStart w:id="41" w:name="_Toc290149059"/>
      <w:bookmarkStart w:id="42" w:name="_Toc312399796"/>
      <w:bookmarkStart w:id="43" w:name="_Toc290209341"/>
    </w:p>
    <w:p>
      <w:pPr>
        <w:pStyle w:val="3"/>
        <w:rPr>
          <w:rFonts w:hint="eastAsia"/>
        </w:rPr>
      </w:pPr>
      <w:r>
        <w:t xml:space="preserve"> </w:t>
      </w:r>
    </w:p>
    <w:bookmarkEnd w:id="37"/>
    <w:bookmarkEnd w:id="38"/>
    <w:bookmarkEnd w:id="39"/>
    <w:bookmarkEnd w:id="40"/>
    <w:bookmarkEnd w:id="41"/>
    <w:bookmarkEnd w:id="42"/>
    <w:bookmarkEnd w:id="43"/>
    <w:p>
      <w:pPr>
        <w:pStyle w:val="4"/>
        <w:tabs>
          <w:tab w:val="left" w:pos="862"/>
          <w:tab w:val="clear" w:pos="578"/>
        </w:tabs>
        <w:ind w:left="862"/>
      </w:pPr>
      <w:bookmarkStart w:id="44" w:name="_Toc32074"/>
      <w:r>
        <w:rPr>
          <w:rFonts w:hint="eastAsia"/>
        </w:rPr>
        <w:t>计算方法</w:t>
      </w:r>
      <w:bookmarkEnd w:id="44"/>
    </w:p>
    <w:p>
      <w:pPr>
        <w:pStyle w:val="3"/>
        <w:ind w:firstLine="420" w:firstLineChars="200"/>
        <w:rPr>
          <w:rFonts w:hint="eastAsia"/>
          <w:kern w:val="2"/>
          <w:lang w:val="en-US"/>
        </w:rPr>
      </w:pPr>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《绿色建筑评价标准技术细则2019》中了明确动态采光计算参数、计算条件细节：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pPr>
        <w:pStyle w:val="4"/>
        <w:tabs>
          <w:tab w:val="left" w:pos="862"/>
          <w:tab w:val="clear" w:pos="578"/>
        </w:tabs>
        <w:ind w:left="862"/>
      </w:pPr>
      <w:bookmarkStart w:id="45" w:name="_Toc17373"/>
      <w:r>
        <w:t>软件</w:t>
      </w:r>
      <w:r>
        <w:rPr>
          <w:rFonts w:hint="eastAsia"/>
        </w:rPr>
        <w:t>选用</w:t>
      </w:r>
      <w:bookmarkEnd w:id="45"/>
    </w:p>
    <w:p>
      <w:pPr>
        <w:pStyle w:val="3"/>
        <w:ind w:firstLine="420" w:firstLineChars="200"/>
        <w:rPr>
          <w:rFonts w:hint="eastAsia"/>
        </w:rPr>
      </w:pPr>
      <w:r>
        <w:t>《</w:t>
      </w:r>
      <w:r>
        <w:rPr>
          <w:rFonts w:hint="eastAsia"/>
        </w:rPr>
        <w:t>绿色</w:t>
      </w:r>
      <w:r>
        <w:t>建筑评价标准》</w:t>
      </w:r>
      <w:r>
        <w:rPr>
          <w:rFonts w:hint="eastAsia"/>
        </w:rPr>
        <w:t>GB/</w:t>
      </w:r>
      <w:r>
        <w:t>T 50378</w:t>
      </w:r>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w:t>
      </w:r>
    </w:p>
    <w:p>
      <w:pPr>
        <w:pStyle w:val="3"/>
        <w:ind w:firstLine="420" w:firstLineChars="200"/>
        <w:rPr>
          <w:rFonts w:hint="eastAsia"/>
        </w:rPr>
      </w:pPr>
      <w:bookmarkStart w:id="46" w:name="_Hlk154565941"/>
      <w:r>
        <w:t>Dali是国内首款与国标《建筑采光设计标准》GB50033配套的软件，支持《绿色建筑评价标准》GB/T50378的采光指标要求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46"/>
    </w:p>
    <w:p>
      <w:pPr>
        <w:pStyle w:val="3"/>
        <w:ind w:firstLine="420" w:firstLineChars="200"/>
        <w:rPr>
          <w:rFonts w:hint="eastAsia"/>
        </w:rPr>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pPr>
        <w:pStyle w:val="2"/>
        <w:ind w:left="432" w:hanging="432"/>
      </w:pPr>
      <w:bookmarkStart w:id="47" w:name="_Toc512608187"/>
      <w:bookmarkStart w:id="48" w:name="_Toc28138"/>
      <w:r>
        <w:rPr>
          <w:rFonts w:hint="eastAsia"/>
        </w:rPr>
        <w:t>采光计算</w:t>
      </w:r>
      <w:r>
        <w:t>参数</w:t>
      </w:r>
      <w:r>
        <w:rPr>
          <w:rFonts w:hint="eastAsia"/>
        </w:rPr>
        <w:t>取值</w:t>
      </w:r>
      <w:bookmarkEnd w:id="47"/>
      <w:bookmarkEnd w:id="48"/>
    </w:p>
    <w:p>
      <w:pPr>
        <w:pStyle w:val="4"/>
      </w:pPr>
      <w:bookmarkStart w:id="49" w:name="_Toc275165386"/>
      <w:bookmarkStart w:id="50" w:name="_Toc290209340"/>
      <w:bookmarkStart w:id="51" w:name="_Toc264043629"/>
      <w:bookmarkStart w:id="52" w:name="_Toc290149058"/>
      <w:bookmarkStart w:id="53" w:name="_Toc264569236"/>
      <w:bookmarkStart w:id="54" w:name="_Toc290209316"/>
      <w:bookmarkStart w:id="55" w:name="_Toc312399795"/>
      <w:bookmarkStart w:id="56" w:name="_Toc512608188"/>
      <w:bookmarkStart w:id="57" w:name="_Toc27106"/>
      <w:r>
        <w:t>模拟</w:t>
      </w:r>
      <w:bookmarkEnd w:id="49"/>
      <w:bookmarkEnd w:id="50"/>
      <w:bookmarkEnd w:id="51"/>
      <w:bookmarkEnd w:id="52"/>
      <w:bookmarkEnd w:id="53"/>
      <w:bookmarkEnd w:id="54"/>
      <w:bookmarkEnd w:id="55"/>
      <w:r>
        <w:rPr>
          <w:rFonts w:hint="eastAsia"/>
        </w:rPr>
        <w:t>分析条件说明</w:t>
      </w:r>
      <w:bookmarkEnd w:id="56"/>
      <w:bookmarkEnd w:id="57"/>
    </w:p>
    <w:p>
      <w:pPr>
        <w:pStyle w:val="3"/>
        <w:ind w:left="420" w:leftChars="200"/>
        <w:rPr>
          <w:rFonts w:hint="eastAsia" w:ascii="宋体" w:hAnsi="宋体"/>
          <w:b/>
          <w:lang w:val="en-US"/>
        </w:rPr>
      </w:pPr>
      <w:r>
        <w:rPr>
          <w:rFonts w:hint="eastAsia" w:ascii="宋体" w:hAnsi="宋体"/>
          <w:b/>
          <w:lang w:val="en-US"/>
        </w:rPr>
        <w:t>光气候数据来源：</w:t>
      </w:r>
      <w:bookmarkStart w:id="58" w:name="气象数据"/>
      <w:r>
        <w:rPr>
          <w:rFonts w:hint="eastAsia"/>
          <w:lang w:val="en-US"/>
        </w:rPr>
        <w:t>《中国建筑热环境分析专用气象数据集》</w:t>
      </w:r>
      <w:bookmarkEnd w:id="58"/>
    </w:p>
    <w:p>
      <w:pPr>
        <w:pStyle w:val="3"/>
        <w:ind w:left="420" w:leftChars="200"/>
        <w:rPr>
          <w:rFonts w:hint="eastAsia"/>
        </w:rPr>
      </w:pPr>
      <w:r>
        <w:rPr>
          <w:rFonts w:hint="eastAsia"/>
          <w:b/>
        </w:rPr>
        <w:t>计算</w:t>
      </w:r>
      <w:r>
        <w:rPr>
          <w:b/>
        </w:rPr>
        <w:t>光线反射次数</w:t>
      </w:r>
      <w:r>
        <w:t>：</w:t>
      </w:r>
      <w:bookmarkStart w:id="59" w:name="光线反射次数"/>
      <w:r>
        <w:rPr>
          <w:rFonts w:hint="eastAsia"/>
        </w:rPr>
        <w:t>3</w:t>
      </w:r>
      <w:bookmarkEnd w:id="59"/>
      <w:r>
        <w:rPr>
          <w:rFonts w:hint="eastAsia"/>
        </w:rPr>
        <w:t>次；</w:t>
      </w:r>
    </w:p>
    <w:p>
      <w:pPr>
        <w:pStyle w:val="3"/>
        <w:ind w:left="420" w:leftChars="200"/>
        <w:rPr>
          <w:rFonts w:hint="eastAsia"/>
        </w:rPr>
      </w:pPr>
      <w:r>
        <w:rPr>
          <w:rFonts w:hint="eastAsia"/>
          <w:b/>
        </w:rPr>
        <w:t>分析参考平面</w:t>
      </w:r>
      <w:r>
        <w:rPr>
          <w:rFonts w:hint="eastAsia"/>
        </w:rPr>
        <w:t>：功能房间取距地面</w:t>
      </w:r>
      <w:bookmarkStart w:id="60" w:name="分析面高"/>
      <w:r>
        <w:rPr>
          <w:rFonts w:hint="eastAsia"/>
        </w:rPr>
        <w:t>0.75</w:t>
      </w:r>
      <w:bookmarkEnd w:id="60"/>
      <w:r>
        <w:rPr>
          <w:rFonts w:hint="eastAsia"/>
        </w:rPr>
        <w:t>米；</w:t>
      </w:r>
    </w:p>
    <w:p>
      <w:pPr>
        <w:pStyle w:val="3"/>
        <w:ind w:left="420" w:leftChars="200"/>
        <w:rPr>
          <w:rFonts w:hint="eastAsia"/>
        </w:rPr>
      </w:pPr>
      <w:bookmarkStart w:id="61" w:name="_Toc512608189"/>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pPr>
              <w:jc w:val="center"/>
              <w:rPr>
                <w:rFonts w:hint="eastAsia"/>
              </w:rP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pPr>
              <w:jc w:val="center"/>
              <w:rPr>
                <w:rFonts w:hint="eastAsia"/>
              </w:rPr>
            </w:pPr>
            <w:r>
              <w:rPr>
                <w:rFonts w:hint="eastAsia"/>
              </w:rPr>
              <w:t>网格大小（m）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jc w:val="center"/>
              <w:rPr>
                <w:rFonts w:hint="eastAsia"/>
              </w:rPr>
            </w:pPr>
            <w:r>
              <w:rPr>
                <w:rFonts w:hint="eastAsia"/>
              </w:rPr>
              <w:t>≤</w:t>
            </w:r>
            <w:bookmarkStart w:id="62" w:name="网格划分小房间面积"/>
            <w:r>
              <w:rPr>
                <w:rFonts w:hint="eastAsia"/>
              </w:rPr>
              <w:t>10</w:t>
            </w:r>
            <w:bookmarkEnd w:id="62"/>
          </w:p>
        </w:tc>
        <w:tc>
          <w:tcPr>
            <w:tcW w:w="3272" w:type="dxa"/>
            <w:shd w:val="clear" w:color="auto" w:fill="auto"/>
            <w:vAlign w:val="center"/>
          </w:tcPr>
          <w:p>
            <w:pPr>
              <w:jc w:val="center"/>
              <w:rPr>
                <w:rFonts w:hint="eastAsia"/>
              </w:rPr>
            </w:pPr>
            <w:bookmarkStart w:id="63" w:name="小房间网格大小"/>
            <w:r>
              <w:rPr>
                <w:rFonts w:hint="eastAsia"/>
              </w:rPr>
              <w:t>0.25</w:t>
            </w:r>
            <w:bookmarkEnd w:id="6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jc w:val="center"/>
              <w:rPr>
                <w:rFonts w:hint="eastAsia"/>
              </w:rPr>
            </w:pPr>
            <w:bookmarkStart w:id="64" w:name="网格划分房间面积"/>
            <w:r>
              <w:rPr>
                <w:rFonts w:hint="eastAsia"/>
              </w:rPr>
              <w:t>10~100</w:t>
            </w:r>
            <w:bookmarkEnd w:id="64"/>
          </w:p>
        </w:tc>
        <w:tc>
          <w:tcPr>
            <w:tcW w:w="3272" w:type="dxa"/>
            <w:shd w:val="clear" w:color="auto" w:fill="auto"/>
            <w:vAlign w:val="center"/>
          </w:tcPr>
          <w:p>
            <w:pPr>
              <w:jc w:val="center"/>
              <w:rPr>
                <w:rFonts w:hint="eastAsia"/>
              </w:rPr>
            </w:pPr>
            <w:bookmarkStart w:id="65" w:name="网格大小"/>
            <w:r>
              <w:rPr>
                <w:rFonts w:hint="eastAsia"/>
              </w:rPr>
              <w:t>0.50</w:t>
            </w:r>
            <w:bookmarkEnd w:id="6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jc w:val="center"/>
              <w:rPr>
                <w:rFonts w:hint="eastAsia"/>
              </w:rPr>
            </w:pPr>
            <w:r>
              <w:rPr>
                <w:rFonts w:hint="eastAsia"/>
              </w:rPr>
              <w:t>≥</w:t>
            </w:r>
            <w:bookmarkStart w:id="66" w:name="网格划分大房间面积"/>
            <w:r>
              <w:rPr>
                <w:rFonts w:hint="eastAsia"/>
              </w:rPr>
              <w:t>100</w:t>
            </w:r>
            <w:bookmarkEnd w:id="66"/>
          </w:p>
        </w:tc>
        <w:tc>
          <w:tcPr>
            <w:tcW w:w="3272" w:type="dxa"/>
            <w:shd w:val="clear" w:color="auto" w:fill="auto"/>
            <w:vAlign w:val="center"/>
          </w:tcPr>
          <w:p>
            <w:pPr>
              <w:jc w:val="center"/>
              <w:rPr>
                <w:rFonts w:hint="eastAsia"/>
              </w:rPr>
            </w:pPr>
            <w:bookmarkStart w:id="67" w:name="大房间网格大小"/>
            <w:r>
              <w:rPr>
                <w:rFonts w:hint="eastAsia"/>
              </w:rPr>
              <w:t>1.00</w:t>
            </w:r>
            <w:bookmarkEnd w:id="67"/>
          </w:p>
        </w:tc>
      </w:tr>
    </w:tbl>
    <w:p>
      <w:pPr>
        <w:pStyle w:val="3"/>
        <w:ind w:left="420" w:leftChars="200"/>
        <w:rPr>
          <w:rFonts w:hint="eastAsia"/>
        </w:rPr>
      </w:pPr>
      <w:r>
        <w:rPr>
          <w:rFonts w:hint="eastAsia"/>
          <w:b/>
        </w:rPr>
        <w:t>周边环境：</w:t>
      </w:r>
      <w:r>
        <w:rPr>
          <w:rFonts w:hint="eastAsia"/>
        </w:rPr>
        <w:t>根据</w:t>
      </w:r>
      <w:r>
        <w:t>《民用建筑绿色性能计算标准》JGJ/T449</w:t>
      </w:r>
      <w:r>
        <w:rPr>
          <w:rFonts w:hint="eastAsia"/>
        </w:rPr>
        <w:t>第6</w:t>
      </w:r>
      <w:r>
        <w:t>.4.4</w:t>
      </w:r>
      <w:r>
        <w:rPr>
          <w:rFonts w:hint="eastAsia"/>
        </w:rPr>
        <w:t>条要求，考虑周边建筑物等影响。</w:t>
      </w:r>
    </w:p>
    <w:p>
      <w:pPr>
        <w:pStyle w:val="4"/>
      </w:pPr>
      <w:bookmarkStart w:id="68" w:name="_Toc27986"/>
      <w:r>
        <w:rPr>
          <w:rFonts w:hint="eastAsia"/>
        </w:rPr>
        <w:t>建筑饰面材料参数</w:t>
      </w:r>
      <w:bookmarkEnd w:id="61"/>
      <w:bookmarkEnd w:id="68"/>
    </w:p>
    <w:p>
      <w:pPr>
        <w:pStyle w:val="3"/>
        <w:ind w:firstLine="420" w:firstLineChars="20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w:t>
      </w:r>
    </w:p>
    <w:p>
      <w:pPr>
        <w:pStyle w:val="3"/>
        <w:ind w:firstLine="420" w:firstLineChars="200"/>
        <w:rPr>
          <w:rFonts w:hint="eastAsia"/>
          <w:lang w:val="en-US"/>
        </w:rPr>
      </w:pP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w:t>
      </w:r>
      <w:bookmarkStart w:id="69" w:name="_Hlk160550928"/>
      <w:r>
        <w:rPr>
          <w:rFonts w:hint="eastAsia"/>
          <w:lang w:val="en-US"/>
        </w:rPr>
        <w:t>采光模拟应符合现行行业标准《民用建筑绿色</w:t>
      </w:r>
      <w:r>
        <w:rPr>
          <w:lang w:val="en-US"/>
        </w:rPr>
        <w:t>性能计算标准》JGJ/T449</w:t>
      </w:r>
      <w:r>
        <w:rPr>
          <w:rFonts w:hint="eastAsia"/>
          <w:lang w:val="en-US"/>
        </w:rPr>
        <w:t>相关规定，</w:t>
      </w:r>
      <w:r>
        <w:rPr>
          <w:lang w:val="en-US"/>
        </w:rPr>
        <w:t>具体参数情况见下表</w:t>
      </w:r>
      <w:bookmarkEnd w:id="69"/>
      <w:r>
        <w:rPr>
          <w:lang w:val="en-US"/>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5"/>
        <w:gridCol w:w="1661"/>
        <w:gridCol w:w="1661"/>
        <w:gridCol w:w="1661"/>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shd w:val="clear" w:color="auto" w:fill="E6E6E6"/>
            <w:vAlign w:val="center"/>
          </w:tcPr>
          <w:p>
            <w:pPr>
              <w:jc w:val="center"/>
              <w:rPr>
                <w:rFonts w:hint="eastAsia"/>
              </w:rPr>
            </w:pPr>
            <w:r>
              <w:rPr>
                <w:rFonts w:hint="eastAsia"/>
              </w:rPr>
              <w:t>位置</w:t>
            </w:r>
          </w:p>
        </w:tc>
        <w:tc>
          <w:tcPr>
            <w:tcW w:w="1661" w:type="dxa"/>
            <w:shd w:val="clear" w:color="auto" w:fill="E6E6E6"/>
            <w:vAlign w:val="center"/>
          </w:tcPr>
          <w:p>
            <w:pPr>
              <w:jc w:val="center"/>
              <w:rPr>
                <w:rFonts w:hint="eastAsia"/>
              </w:rPr>
            </w:pPr>
            <w:r>
              <w:rPr>
                <w:rFonts w:hint="eastAsia"/>
              </w:rPr>
              <w:t>顶棚</w:t>
            </w:r>
          </w:p>
        </w:tc>
        <w:tc>
          <w:tcPr>
            <w:tcW w:w="1661" w:type="dxa"/>
            <w:shd w:val="clear" w:color="auto" w:fill="E6E6E6"/>
          </w:tcPr>
          <w:p>
            <w:pPr>
              <w:jc w:val="center"/>
              <w:rPr>
                <w:rFonts w:hint="eastAsia"/>
              </w:rPr>
            </w:pPr>
            <w:r>
              <w:rPr>
                <w:rFonts w:hint="eastAsia"/>
              </w:rPr>
              <w:t>地面</w:t>
            </w:r>
          </w:p>
        </w:tc>
        <w:tc>
          <w:tcPr>
            <w:tcW w:w="1661" w:type="dxa"/>
            <w:shd w:val="clear" w:color="auto" w:fill="E6E6E6"/>
          </w:tcPr>
          <w:p>
            <w:pPr>
              <w:jc w:val="center"/>
              <w:rPr>
                <w:rFonts w:hint="eastAsia"/>
              </w:rPr>
            </w:pPr>
            <w:r>
              <w:rPr>
                <w:rFonts w:hint="eastAsia"/>
              </w:rPr>
              <w:t>墙面</w:t>
            </w:r>
          </w:p>
        </w:tc>
        <w:tc>
          <w:tcPr>
            <w:tcW w:w="1662" w:type="dxa"/>
            <w:shd w:val="clear" w:color="auto" w:fill="E6E6E6"/>
          </w:tcPr>
          <w:p>
            <w:pPr>
              <w:jc w:val="center"/>
              <w:rPr>
                <w:rFonts w:hint="eastAsia"/>
              </w:rPr>
            </w:pPr>
            <w:r>
              <w:rPr>
                <w:rFonts w:hint="eastAsia"/>
              </w:rPr>
              <w:t>外表面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shd w:val="clear" w:color="auto" w:fill="auto"/>
            <w:vAlign w:val="center"/>
          </w:tcPr>
          <w:p>
            <w:pPr>
              <w:jc w:val="center"/>
              <w:rPr>
                <w:rFonts w:hint="eastAsia"/>
              </w:rPr>
            </w:pPr>
            <w:r>
              <w:rPr>
                <w:rFonts w:hint="eastAsia"/>
              </w:rPr>
              <w:t>反射比材料设计取值</w:t>
            </w:r>
          </w:p>
        </w:tc>
        <w:tc>
          <w:tcPr>
            <w:tcW w:w="1661" w:type="dxa"/>
            <w:shd w:val="clear" w:color="auto" w:fill="auto"/>
            <w:vAlign w:val="center"/>
          </w:tcPr>
          <w:p>
            <w:pPr>
              <w:jc w:val="center"/>
              <w:rPr>
                <w:rFonts w:hint="eastAsia"/>
              </w:rPr>
            </w:pPr>
            <w:bookmarkStart w:id="70" w:name="顶棚反射比"/>
            <w:r>
              <w:rPr>
                <w:rFonts w:hint="eastAsia"/>
              </w:rPr>
              <w:t>0.75</w:t>
            </w:r>
            <w:bookmarkEnd w:id="70"/>
          </w:p>
        </w:tc>
        <w:tc>
          <w:tcPr>
            <w:tcW w:w="1661" w:type="dxa"/>
            <w:vAlign w:val="center"/>
          </w:tcPr>
          <w:p>
            <w:pPr>
              <w:jc w:val="center"/>
              <w:rPr>
                <w:rFonts w:hint="eastAsia"/>
              </w:rPr>
            </w:pPr>
            <w:bookmarkStart w:id="71" w:name="地面反射比"/>
            <w:r>
              <w:rPr>
                <w:rFonts w:hint="eastAsia"/>
              </w:rPr>
              <w:t>0.30</w:t>
            </w:r>
            <w:bookmarkEnd w:id="71"/>
          </w:p>
        </w:tc>
        <w:tc>
          <w:tcPr>
            <w:tcW w:w="1661" w:type="dxa"/>
            <w:vAlign w:val="center"/>
          </w:tcPr>
          <w:p>
            <w:pPr>
              <w:jc w:val="center"/>
              <w:rPr>
                <w:rFonts w:hint="eastAsia"/>
              </w:rPr>
            </w:pPr>
            <w:bookmarkStart w:id="72" w:name="墙面反射比"/>
            <w:r>
              <w:rPr>
                <w:rFonts w:hint="eastAsia"/>
              </w:rPr>
              <w:t>0.60</w:t>
            </w:r>
            <w:bookmarkEnd w:id="72"/>
          </w:p>
        </w:tc>
        <w:tc>
          <w:tcPr>
            <w:tcW w:w="1662" w:type="dxa"/>
            <w:vAlign w:val="center"/>
          </w:tcPr>
          <w:p>
            <w:pPr>
              <w:jc w:val="center"/>
              <w:rPr>
                <w:rFonts w:hint="eastAsia"/>
              </w:rPr>
            </w:pPr>
            <w:bookmarkStart w:id="73" w:name="外表面反射比"/>
            <w:r>
              <w:rPr>
                <w:rFonts w:hint="eastAsia"/>
              </w:rPr>
              <w:t>0.30</w:t>
            </w:r>
            <w:bookmarkEnd w:id="73"/>
          </w:p>
        </w:tc>
      </w:tr>
    </w:tbl>
    <w:p>
      <w:pPr>
        <w:pStyle w:val="14"/>
        <w:spacing w:line="360" w:lineRule="auto"/>
        <w:ind w:firstLine="360"/>
        <w:rPr>
          <w:rFonts w:ascii="Times New Roman" w:hAnsi="Times New Roman"/>
          <w:sz w:val="18"/>
          <w:szCs w:val="18"/>
        </w:rPr>
      </w:pPr>
    </w:p>
    <w:p>
      <w:pPr>
        <w:pStyle w:val="4"/>
      </w:pPr>
      <w:bookmarkStart w:id="74" w:name="_Toc3052"/>
      <w:r>
        <w:rPr>
          <w:rFonts w:hint="eastAsia"/>
        </w:rPr>
        <w:t>门窗类型参数</w:t>
      </w:r>
      <w:bookmarkEnd w:id="74"/>
    </w:p>
    <w:p>
      <w:pPr>
        <w:pStyle w:val="3"/>
        <w:ind w:firstLine="420" w:firstLineChars="200"/>
        <w:rPr>
          <w:rFonts w:hint="eastAsia"/>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pPr>
        <w:pStyle w:val="3"/>
        <w:ind w:firstLine="420" w:firstLineChars="200"/>
        <w:rPr>
          <w:rFonts w:hint="eastAsia"/>
          <w:lang w:val="en-US"/>
        </w:rPr>
      </w:pPr>
      <w:r>
        <w:rPr>
          <w:rFonts w:hint="eastAsia"/>
          <w:lang w:val="en-US"/>
        </w:rPr>
        <w:t>本项目中透光门、窗户的性能参数包括门窗尺寸、挡光系数、窗框类型、玻璃类型、可见光透射比和反射比，参数具体数值情况详见下文。</w:t>
      </w:r>
    </w:p>
    <w:p>
      <w:pPr>
        <w:pStyle w:val="3"/>
        <w:rPr>
          <w:rFonts w:hint="eastAsia"/>
          <w:sz w:val="18"/>
          <w:szCs w:val="18"/>
          <w:lang w:val="en-US"/>
        </w:rPr>
      </w:pPr>
    </w:p>
    <w:p>
      <w:pPr>
        <w:pStyle w:val="5"/>
        <w:rPr>
          <w:rFonts w:hint="eastAsia"/>
        </w:rPr>
      </w:pPr>
      <w:bookmarkStart w:id="75" w:name="_Toc18572"/>
      <w:bookmarkStart w:id="76" w:name="窗"/>
      <w:r>
        <w:t>普通</w:t>
      </w:r>
      <w:r>
        <w:rPr>
          <w:rFonts w:hint="eastAsia"/>
        </w:rPr>
        <w:t>窗</w:t>
      </w:r>
      <w:bookmarkEnd w:id="75"/>
    </w:p>
    <w:bookmarkEnd w:id="76"/>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18"/>
                <w:szCs w:val="18"/>
              </w:rPr>
            </w:pPr>
            <w:r>
              <w:rPr>
                <w:sz w:val="18"/>
                <w:szCs w:val="18"/>
              </w:rPr>
              <w:t>门窗编号</w:t>
            </w:r>
          </w:p>
        </w:tc>
        <w:tc>
          <w:tcPr>
            <w:shd w:val="clear" w:color="auto" w:fill="E6E6E6"/>
            <w:vAlign w:val="center"/>
          </w:tcPr>
          <w:p>
            <w:pPr>
              <w:jc w:val="center"/>
              <w:rPr>
                <w:sz w:val="18"/>
                <w:szCs w:val="18"/>
              </w:rPr>
            </w:pPr>
            <w:r>
              <w:rPr>
                <w:sz w:val="18"/>
                <w:szCs w:val="18"/>
              </w:rPr>
              <w:t>宽度(mm)</w:t>
            </w:r>
          </w:p>
        </w:tc>
        <w:tc>
          <w:tcPr>
            <w:shd w:val="clear" w:color="auto" w:fill="E6E6E6"/>
            <w:vAlign w:val="center"/>
          </w:tcPr>
          <w:p>
            <w:pPr>
              <w:jc w:val="center"/>
              <w:rPr>
                <w:sz w:val="18"/>
                <w:szCs w:val="18"/>
              </w:rPr>
            </w:pPr>
            <w:r>
              <w:rPr>
                <w:sz w:val="18"/>
                <w:szCs w:val="18"/>
              </w:rPr>
              <w:t>高度(mm)</w:t>
            </w:r>
          </w:p>
        </w:tc>
        <w:tc>
          <w:tcPr>
            <w:shd w:val="clear" w:color="auto" w:fill="E6E6E6"/>
            <w:vAlign w:val="center"/>
          </w:tcPr>
          <w:p>
            <w:pPr>
              <w:jc w:val="center"/>
              <w:rPr>
                <w:sz w:val="18"/>
                <w:szCs w:val="18"/>
              </w:rPr>
            </w:pPr>
            <w:r>
              <w:rPr>
                <w:sz w:val="18"/>
                <w:szCs w:val="18"/>
              </w:rPr>
              <w:t>窗框类型</w:t>
            </w:r>
          </w:p>
        </w:tc>
        <w:tc>
          <w:tcPr>
            <w:shd w:val="clear" w:color="auto" w:fill="E6E6E6"/>
            <w:vAlign w:val="center"/>
          </w:tcPr>
          <w:p>
            <w:pPr>
              <w:jc w:val="center"/>
              <w:rPr>
                <w:sz w:val="18"/>
                <w:szCs w:val="18"/>
              </w:rPr>
            </w:pPr>
            <w:r>
              <w:rPr>
                <w:sz w:val="18"/>
                <w:szCs w:val="18"/>
              </w:rPr>
              <w:t>玻璃类型</w:t>
            </w:r>
          </w:p>
        </w:tc>
        <w:tc>
          <w:tcPr>
            <w:shd w:val="clear" w:color="auto" w:fill="E6E6E6"/>
            <w:vAlign w:val="center"/>
          </w:tcPr>
          <w:p>
            <w:pPr>
              <w:jc w:val="center"/>
              <w:rPr>
                <w:sz w:val="18"/>
                <w:szCs w:val="18"/>
              </w:rPr>
            </w:pPr>
            <w:r>
              <w:rPr>
                <w:sz w:val="18"/>
                <w:szCs w:val="18"/>
              </w:rPr>
              <w:t>可见光透射比</w:t>
            </w:r>
          </w:p>
        </w:tc>
        <w:tc>
          <w:tcPr>
            <w:shd w:val="clear" w:color="auto" w:fill="E6E6E6"/>
            <w:vAlign w:val="center"/>
          </w:tcPr>
          <w:p>
            <w:pPr>
              <w:jc w:val="center"/>
              <w:rPr>
                <w:sz w:val="18"/>
                <w:szCs w:val="18"/>
              </w:rPr>
            </w:pPr>
            <w:r>
              <w:rPr>
                <w:sz w:val="18"/>
                <w:szCs w:val="18"/>
              </w:rPr>
              <w:t>玻璃反射比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p>
        </w:tc>
        <w:tc>
          <w:tcPr>
            <w:vAlign w:val="center"/>
          </w:tcPr>
          <w:p>
            <w:pPr>
              <w:jc w:val="center"/>
              <w:rPr>
                <w:sz w:val="18"/>
                <w:szCs w:val="18"/>
              </w:rPr>
            </w:pPr>
            <w:r>
              <w:rPr>
                <w:sz w:val="18"/>
                <w:szCs w:val="18"/>
              </w:rPr>
              <w:t>2400</w:t>
            </w:r>
          </w:p>
        </w:tc>
        <w:tc>
          <w:tcPr>
            <w:vAlign w:val="center"/>
          </w:tcPr>
          <w:p>
            <w:pPr>
              <w:jc w:val="center"/>
              <w:rPr>
                <w:sz w:val="18"/>
                <w:szCs w:val="18"/>
              </w:rPr>
            </w:pPr>
            <w:r>
              <w:rPr>
                <w:sz w:val="18"/>
                <w:szCs w:val="18"/>
              </w:rPr>
              <w:t>2100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bl>
    <w:p>
      <w:pPr>
        <w:pStyle w:val="3"/>
        <w:rPr>
          <w:rFonts w:hint="eastAsia" w:ascii="宋体" w:hAnsi="宋体"/>
          <w:sz w:val="18"/>
          <w:szCs w:val="18"/>
          <w:lang w:val="en-US"/>
        </w:rPr>
      </w:pPr>
      <w:r>
        <w:rPr>
          <w:rFonts w:hint="eastAsia" w:ascii="宋体" w:hAnsi="宋体"/>
          <w:sz w:val="18"/>
          <w:szCs w:val="18"/>
          <w:lang w:val="en-US"/>
        </w:rPr>
        <w:t>注：计算考虑了外窗玻璃的污染折减系数影响，系数取值0.9。</w:t>
      </w:r>
    </w:p>
    <w:p>
      <w:pPr>
        <w:pStyle w:val="3"/>
        <w:rPr>
          <w:rFonts w:hint="eastAsia" w:ascii="宋体" w:hAnsi="宋体"/>
          <w:sz w:val="18"/>
          <w:szCs w:val="18"/>
          <w:lang w:val="en-US"/>
        </w:rPr>
      </w:pPr>
    </w:p>
    <w:p>
      <w:pPr>
        <w:pStyle w:val="5"/>
        <w:rPr>
          <w:rFonts w:hint="eastAsia"/>
        </w:rPr>
      </w:pPr>
      <w:bookmarkStart w:id="77" w:name="_Toc20431"/>
      <w:bookmarkStart w:id="78" w:name="幕墙"/>
      <w:r>
        <w:rPr>
          <w:rFonts w:hint="eastAsia"/>
        </w:rPr>
        <w:t>玻璃幕墙</w:t>
      </w:r>
      <w:bookmarkEnd w:id="77"/>
    </w:p>
    <w:bookmarkEnd w:id="78"/>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18"/>
                <w:szCs w:val="18"/>
              </w:rPr>
            </w:pPr>
            <w:r>
              <w:rPr>
                <w:sz w:val="18"/>
                <w:szCs w:val="18"/>
              </w:rPr>
              <w:t>门窗编号</w:t>
            </w:r>
          </w:p>
        </w:tc>
        <w:tc>
          <w:tcPr>
            <w:shd w:val="clear" w:color="auto" w:fill="E6E6E6"/>
            <w:vAlign w:val="center"/>
          </w:tcPr>
          <w:p>
            <w:pPr>
              <w:jc w:val="center"/>
              <w:rPr>
                <w:sz w:val="18"/>
                <w:szCs w:val="18"/>
              </w:rPr>
            </w:pPr>
            <w:r>
              <w:rPr>
                <w:sz w:val="18"/>
                <w:szCs w:val="18"/>
              </w:rPr>
              <w:t>宽度(mm)</w:t>
            </w:r>
          </w:p>
        </w:tc>
        <w:tc>
          <w:tcPr>
            <w:shd w:val="clear" w:color="auto" w:fill="E6E6E6"/>
            <w:vAlign w:val="center"/>
          </w:tcPr>
          <w:p>
            <w:pPr>
              <w:jc w:val="center"/>
              <w:rPr>
                <w:sz w:val="18"/>
                <w:szCs w:val="18"/>
              </w:rPr>
            </w:pPr>
            <w:r>
              <w:rPr>
                <w:sz w:val="18"/>
                <w:szCs w:val="18"/>
              </w:rPr>
              <w:t>高度(mm)</w:t>
            </w:r>
          </w:p>
        </w:tc>
        <w:tc>
          <w:tcPr>
            <w:shd w:val="clear" w:color="auto" w:fill="E6E6E6"/>
            <w:vAlign w:val="center"/>
          </w:tcPr>
          <w:p>
            <w:pPr>
              <w:jc w:val="center"/>
              <w:rPr>
                <w:sz w:val="18"/>
                <w:szCs w:val="18"/>
              </w:rPr>
            </w:pPr>
            <w:r>
              <w:rPr>
                <w:sz w:val="18"/>
                <w:szCs w:val="18"/>
              </w:rPr>
              <w:t>窗框类型</w:t>
            </w:r>
          </w:p>
        </w:tc>
        <w:tc>
          <w:tcPr>
            <w:shd w:val="clear" w:color="auto" w:fill="E6E6E6"/>
            <w:vAlign w:val="center"/>
          </w:tcPr>
          <w:p>
            <w:pPr>
              <w:jc w:val="center"/>
              <w:rPr>
                <w:sz w:val="18"/>
                <w:szCs w:val="18"/>
              </w:rPr>
            </w:pPr>
            <w:r>
              <w:rPr>
                <w:sz w:val="18"/>
                <w:szCs w:val="18"/>
              </w:rPr>
              <w:t>玻璃类型</w:t>
            </w:r>
          </w:p>
        </w:tc>
        <w:tc>
          <w:tcPr>
            <w:shd w:val="clear" w:color="auto" w:fill="E6E6E6"/>
            <w:vAlign w:val="center"/>
          </w:tcPr>
          <w:p>
            <w:pPr>
              <w:jc w:val="center"/>
              <w:rPr>
                <w:sz w:val="18"/>
                <w:szCs w:val="18"/>
              </w:rPr>
            </w:pPr>
            <w:r>
              <w:rPr>
                <w:sz w:val="18"/>
                <w:szCs w:val="18"/>
              </w:rPr>
              <w:t>可见光透射比</w:t>
            </w:r>
          </w:p>
        </w:tc>
        <w:tc>
          <w:tcPr>
            <w:shd w:val="clear" w:color="auto" w:fill="E6E6E6"/>
            <w:vAlign w:val="center"/>
          </w:tcPr>
          <w:p>
            <w:pPr>
              <w:jc w:val="center"/>
              <w:rPr>
                <w:sz w:val="18"/>
                <w:szCs w:val="18"/>
              </w:rPr>
            </w:pPr>
            <w:r>
              <w:rPr>
                <w:sz w:val="18"/>
                <w:szCs w:val="18"/>
              </w:rPr>
              <w:t>玻璃反射比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p>
        </w:tc>
        <w:tc>
          <w:tcPr>
            <w:vAlign w:val="center"/>
          </w:tcPr>
          <w:p>
            <w:pPr>
              <w:jc w:val="center"/>
              <w:rPr>
                <w:sz w:val="18"/>
                <w:szCs w:val="18"/>
              </w:rPr>
            </w:pPr>
            <w:r>
              <w:rPr>
                <w:sz w:val="18"/>
                <w:szCs w:val="18"/>
              </w:rPr>
              <w:t>3303</w:t>
            </w:r>
          </w:p>
        </w:tc>
        <w:tc>
          <w:tcPr>
            <w:vAlign w:val="center"/>
          </w:tcPr>
          <w:p>
            <w:pPr>
              <w:jc w:val="center"/>
              <w:rPr>
                <w:sz w:val="18"/>
                <w:szCs w:val="18"/>
              </w:rPr>
            </w:pPr>
            <w:r>
              <w:rPr>
                <w:sz w:val="18"/>
                <w:szCs w:val="18"/>
              </w:rPr>
              <w:t>4000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bl>
    <w:p>
      <w:pPr>
        <w:pStyle w:val="3"/>
        <w:rPr>
          <w:rFonts w:hint="eastAsia" w:ascii="宋体" w:hAnsi="宋体"/>
          <w:sz w:val="18"/>
          <w:szCs w:val="18"/>
          <w:lang w:val="en-US"/>
        </w:rPr>
      </w:pPr>
      <w:r>
        <w:rPr>
          <w:rFonts w:hint="eastAsia" w:ascii="宋体" w:hAnsi="宋体"/>
          <w:sz w:val="18"/>
          <w:szCs w:val="18"/>
          <w:lang w:val="en-US"/>
        </w:rPr>
        <w:t>注：计算考虑了外窗玻璃的污染折减系数影响，系数取值0.9。</w:t>
      </w:r>
    </w:p>
    <w:p>
      <w:pPr>
        <w:pStyle w:val="3"/>
        <w:rPr>
          <w:rFonts w:hint="eastAsia" w:ascii="宋体" w:hAnsi="宋体"/>
          <w:sz w:val="18"/>
          <w:szCs w:val="18"/>
          <w:lang w:val="en-US"/>
        </w:rPr>
      </w:pPr>
    </w:p>
    <w:p>
      <w:pPr>
        <w:pStyle w:val="3"/>
        <w:rPr>
          <w:rFonts w:hint="eastAsia" w:ascii="宋体" w:hAnsi="宋体"/>
          <w:sz w:val="18"/>
          <w:szCs w:val="18"/>
          <w:lang w:val="en-US"/>
        </w:rPr>
      </w:pPr>
    </w:p>
    <w:p>
      <w:pPr>
        <w:pStyle w:val="3"/>
        <w:rPr>
          <w:rFonts w:hint="eastAsia" w:ascii="宋体" w:hAnsi="宋体"/>
          <w:sz w:val="18"/>
          <w:szCs w:val="18"/>
          <w:lang w:val="en-US"/>
        </w:rPr>
      </w:pPr>
      <w:bookmarkStart w:id="79" w:name="窗污染折减系数"/>
      <w:bookmarkEnd w:id="79"/>
    </w:p>
    <w:p>
      <w:pPr>
        <w:pStyle w:val="2"/>
        <w:ind w:left="432" w:hanging="432"/>
      </w:pPr>
      <w:bookmarkStart w:id="80" w:name="_Toc12109"/>
      <w:r>
        <w:rPr>
          <w:rFonts w:hint="eastAsia"/>
        </w:rPr>
        <w:t>动态采光达标统计</w:t>
      </w:r>
      <w:bookmarkEnd w:id="80"/>
    </w:p>
    <w:p>
      <w:pPr>
        <w:pStyle w:val="3"/>
        <w:ind w:firstLine="420" w:firstLineChars="200"/>
        <w:rPr>
          <w:rFonts w:hint="eastAsia"/>
        </w:rPr>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2"/>
        <w:tblW w:w="92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7"/>
        <w:gridCol w:w="855"/>
        <w:gridCol w:w="1304"/>
        <w:gridCol w:w="111"/>
        <w:gridCol w:w="1369"/>
        <w:gridCol w:w="46"/>
        <w:gridCol w:w="621"/>
        <w:gridCol w:w="667"/>
        <w:gridCol w:w="127"/>
        <w:gridCol w:w="812"/>
        <w:gridCol w:w="939"/>
        <w:gridCol w:w="229"/>
        <w:gridCol w:w="710"/>
        <w:gridCol w:w="837"/>
        <w:gridCol w:w="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shd w:val="clear" w:color="auto" w:fill="E6E6E6"/>
            <w:vAlign w:val="center"/>
          </w:tcPr>
          <w:p>
            <w:pPr>
              <w:jc w:val="center"/>
              <w:rPr>
                <w:sz w:val="18"/>
                <w:szCs w:val="18"/>
              </w:rPr>
            </w:pPr>
            <w:r>
              <w:rPr>
                <w:sz w:val="18"/>
                <w:szCs w:val="18"/>
              </w:rPr>
              <w:t>楼层</w:t>
            </w:r>
          </w:p>
        </w:tc>
        <w:tc>
          <w:tcPr>
            <w:gridSpan w:val="2"/>
            <w:shd w:val="clear" w:color="auto" w:fill="E6E6E6"/>
            <w:vAlign w:val="center"/>
          </w:tcPr>
          <w:p>
            <w:pPr>
              <w:jc w:val="center"/>
              <w:rPr>
                <w:sz w:val="18"/>
                <w:szCs w:val="18"/>
              </w:rPr>
            </w:pPr>
            <w:r>
              <w:rPr>
                <w:sz w:val="18"/>
                <w:szCs w:val="18"/>
              </w:rPr>
              <w:t>房间</w:t>
            </w:r>
          </w:p>
        </w:tc>
        <w:tc>
          <w:tcPr>
            <w:gridSpan w:val="2"/>
            <w:shd w:val="clear" w:color="auto" w:fill="E6E6E6"/>
            <w:vAlign w:val="center"/>
          </w:tcPr>
          <w:p>
            <w:pPr>
              <w:jc w:val="center"/>
              <w:rPr>
                <w:sz w:val="18"/>
                <w:szCs w:val="18"/>
              </w:rPr>
            </w:pPr>
            <w:r>
              <w:rPr>
                <w:sz w:val="18"/>
                <w:szCs w:val="18"/>
              </w:rPr>
              <w:t>对标功能</w:t>
            </w:r>
          </w:p>
        </w:tc>
        <w:tc>
          <w:tcPr>
            <w:gridSpan w:val="2"/>
            <w:shd w:val="clear" w:color="auto" w:fill="E6E6E6"/>
            <w:vAlign w:val="center"/>
          </w:tcPr>
          <w:p>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pPr>
              <w:jc w:val="center"/>
              <w:rPr>
                <w:sz w:val="18"/>
                <w:szCs w:val="18"/>
              </w:rPr>
            </w:pPr>
            <w:r>
              <w:rPr>
                <w:sz w:val="18"/>
                <w:szCs w:val="18"/>
              </w:rPr>
              <w:t>设计照度</w:t>
            </w:r>
            <w:r>
              <w:rPr>
                <w:sz w:val="18"/>
                <w:szCs w:val="18"/>
              </w:rPr>
              <w:br w:type="textWrapping"/>
            </w:r>
            <w:r>
              <w:rPr>
                <w:sz w:val="18"/>
                <w:szCs w:val="18"/>
              </w:rPr>
              <w:t>要求(Lx)</w:t>
            </w:r>
          </w:p>
        </w:tc>
        <w:tc>
          <w:tcPr>
            <w:shd w:val="clear" w:color="auto" w:fill="E6E6E6"/>
            <w:vAlign w:val="center"/>
          </w:tcPr>
          <w:p>
            <w:pPr>
              <w:jc w:val="center"/>
              <w:rPr>
                <w:sz w:val="18"/>
                <w:szCs w:val="18"/>
              </w:rPr>
            </w:pPr>
            <w:r>
              <w:rPr>
                <w:sz w:val="18"/>
                <w:szCs w:val="18"/>
              </w:rPr>
              <w:t>房间面积</w:t>
            </w:r>
            <w:r>
              <w:rPr>
                <w:sz w:val="18"/>
                <w:szCs w:val="18"/>
              </w:rPr>
              <w:br w:type="textWrapping"/>
            </w:r>
            <w:r>
              <w:rPr>
                <w:sz w:val="18"/>
                <w:szCs w:val="18"/>
              </w:rPr>
              <w:t>(m2)</w:t>
            </w:r>
          </w:p>
        </w:tc>
        <w:tc>
          <w:tcPr>
            <w:gridSpan w:val="2"/>
            <w:shd w:val="clear" w:color="auto" w:fill="E6E6E6"/>
            <w:vAlign w:val="center"/>
          </w:tcPr>
          <w:p>
            <w:pPr>
              <w:jc w:val="center"/>
              <w:rPr>
                <w:sz w:val="18"/>
                <w:szCs w:val="18"/>
              </w:rPr>
            </w:pPr>
            <w:r>
              <w:rPr>
                <w:sz w:val="18"/>
                <w:szCs w:val="18"/>
              </w:rPr>
              <w:t>达标时数</w:t>
            </w:r>
            <w:r>
              <w:rPr>
                <w:sz w:val="18"/>
                <w:szCs w:val="18"/>
              </w:rPr>
              <w:br w:type="textWrapping"/>
            </w:r>
            <w:r>
              <w:rPr>
                <w:sz w:val="18"/>
                <w:szCs w:val="18"/>
              </w:rPr>
              <w:t>(h/d)</w:t>
            </w:r>
          </w:p>
        </w:tc>
        <w:tc>
          <w:tcPr>
            <w:shd w:val="clear" w:color="auto" w:fill="E6E6E6"/>
            <w:vAlign w:val="center"/>
          </w:tcPr>
          <w:p>
            <w:pPr>
              <w:jc w:val="center"/>
              <w:rPr>
                <w:sz w:val="18"/>
                <w:szCs w:val="18"/>
              </w:rPr>
            </w:pPr>
            <w:r>
              <w:rPr>
                <w:sz w:val="18"/>
                <w:szCs w:val="18"/>
              </w:rPr>
              <w:t>结论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restart"/>
            <w:vAlign w:val="center"/>
          </w:tcPr>
          <w:p>
            <w:pPr>
              <w:jc w:val="center"/>
              <w:rPr>
                <w:sz w:val="18"/>
                <w:szCs w:val="18"/>
              </w:rPr>
            </w:pPr>
            <w:r>
              <w:rPr>
                <w:sz w:val="18"/>
                <w:szCs w:val="18"/>
              </w:rPr>
              <w:t>1</w:t>
            </w:r>
          </w:p>
        </w:tc>
        <w:tc>
          <w:tcPr>
            <w:gridSpan w:val="2"/>
            <w:vAlign w:val="center"/>
          </w:tcPr>
          <w:p>
            <w:pPr>
              <w:jc w:val="center"/>
              <w:rPr>
                <w:sz w:val="18"/>
                <w:szCs w:val="18"/>
              </w:rPr>
            </w:pPr>
            <w:r>
              <w:rPr>
                <w:sz w:val="18"/>
                <w:szCs w:val="18"/>
              </w:rPr>
              <w:t>1002[大厅]</w:t>
            </w:r>
          </w:p>
        </w:tc>
        <w:tc>
          <w:tcPr>
            <w:gridSpan w:val="2"/>
            <w:vAlign w:val="center"/>
          </w:tcPr>
          <w:p>
            <w:pPr>
              <w:jc w:val="center"/>
              <w:rPr>
                <w:sz w:val="18"/>
                <w:szCs w:val="18"/>
              </w:rPr>
            </w:pPr>
            <w:r>
              <w:rPr>
                <w:sz w:val="18"/>
                <w:szCs w:val="18"/>
              </w:rPr>
              <w:t>登录厅</w:t>
            </w:r>
          </w:p>
        </w:tc>
        <w:tc>
          <w:tcPr>
            <w:gridSpan w:val="2"/>
            <w:vAlign w:val="center"/>
          </w:tcPr>
          <w:p>
            <w:pPr>
              <w:jc w:val="center"/>
              <w:rPr>
                <w:sz w:val="18"/>
                <w:szCs w:val="18"/>
              </w:rPr>
            </w:pPr>
            <w:r>
              <w:rPr>
                <w:sz w:val="18"/>
                <w:szCs w:val="18"/>
              </w:rPr>
              <w:t>IV</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69.28</w:t>
            </w:r>
          </w:p>
        </w:tc>
        <w:tc>
          <w:tcPr>
            <w:gridSpan w:val="2"/>
            <w:vAlign w:val="center"/>
          </w:tcPr>
          <w:p>
            <w:pPr>
              <w:jc w:val="center"/>
              <w:rPr>
                <w:sz w:val="18"/>
                <w:szCs w:val="18"/>
              </w:rPr>
            </w:pPr>
            <w:r>
              <w:rPr>
                <w:sz w:val="18"/>
                <w:szCs w:val="18"/>
              </w:rPr>
              <w:t>9.1</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1003[楼梯间]</w:t>
            </w:r>
          </w:p>
        </w:tc>
        <w:tc>
          <w:tcPr>
            <w:gridSpan w:val="2"/>
            <w:vAlign w:val="center"/>
          </w:tcPr>
          <w:p>
            <w:pPr>
              <w:jc w:val="center"/>
              <w:rPr>
                <w:sz w:val="18"/>
                <w:szCs w:val="18"/>
              </w:rPr>
            </w:pPr>
            <w:r>
              <w:rPr>
                <w:sz w:val="18"/>
                <w:szCs w:val="18"/>
              </w:rPr>
              <w:t>楼梯间</w:t>
            </w:r>
          </w:p>
        </w:tc>
        <w:tc>
          <w:tcPr>
            <w:gridSpan w:val="2"/>
            <w:vAlign w:val="center"/>
          </w:tcPr>
          <w:p>
            <w:pPr>
              <w:jc w:val="center"/>
              <w:rPr>
                <w:sz w:val="18"/>
                <w:szCs w:val="18"/>
              </w:rPr>
            </w:pPr>
            <w:r>
              <w:rPr>
                <w:sz w:val="18"/>
                <w:szCs w:val="18"/>
              </w:rPr>
              <w:t>V</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150</w:t>
            </w:r>
          </w:p>
        </w:tc>
        <w:tc>
          <w:tcPr>
            <w:vAlign w:val="center"/>
          </w:tcPr>
          <w:p>
            <w:pPr>
              <w:jc w:val="center"/>
              <w:rPr>
                <w:sz w:val="18"/>
                <w:szCs w:val="18"/>
              </w:rPr>
            </w:pPr>
            <w:r>
              <w:rPr>
                <w:sz w:val="18"/>
                <w:szCs w:val="18"/>
              </w:rPr>
              <w:t>19.20</w:t>
            </w:r>
          </w:p>
        </w:tc>
        <w:tc>
          <w:tcPr>
            <w:gridSpan w:val="2"/>
            <w:vAlign w:val="center"/>
          </w:tcPr>
          <w:p>
            <w:pPr>
              <w:jc w:val="center"/>
              <w:rPr>
                <w:sz w:val="18"/>
                <w:szCs w:val="18"/>
              </w:rPr>
            </w:pPr>
            <w:r>
              <w:rPr>
                <w:sz w:val="18"/>
                <w:szCs w:val="18"/>
              </w:rPr>
              <w:t>9.3</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1004[卫生间]</w:t>
            </w:r>
          </w:p>
        </w:tc>
        <w:tc>
          <w:tcPr>
            <w:gridSpan w:val="2"/>
            <w:vAlign w:val="center"/>
          </w:tcPr>
          <w:p>
            <w:pPr>
              <w:jc w:val="center"/>
              <w:rPr>
                <w:sz w:val="18"/>
                <w:szCs w:val="18"/>
              </w:rPr>
            </w:pPr>
            <w:r>
              <w:rPr>
                <w:sz w:val="18"/>
                <w:szCs w:val="18"/>
              </w:rPr>
              <w:t>卫生间</w:t>
            </w:r>
          </w:p>
        </w:tc>
        <w:tc>
          <w:tcPr>
            <w:gridSpan w:val="2"/>
            <w:vAlign w:val="center"/>
          </w:tcPr>
          <w:p>
            <w:pPr>
              <w:jc w:val="center"/>
              <w:rPr>
                <w:sz w:val="18"/>
                <w:szCs w:val="18"/>
              </w:rPr>
            </w:pPr>
            <w:r>
              <w:rPr>
                <w:sz w:val="18"/>
                <w:szCs w:val="18"/>
              </w:rPr>
              <w:t>V</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150</w:t>
            </w:r>
          </w:p>
        </w:tc>
        <w:tc>
          <w:tcPr>
            <w:vAlign w:val="center"/>
          </w:tcPr>
          <w:p>
            <w:pPr>
              <w:jc w:val="center"/>
              <w:rPr>
                <w:sz w:val="18"/>
                <w:szCs w:val="18"/>
              </w:rPr>
            </w:pPr>
            <w:r>
              <w:rPr>
                <w:sz w:val="18"/>
                <w:szCs w:val="18"/>
              </w:rPr>
              <w:t>7.68</w:t>
            </w:r>
          </w:p>
        </w:tc>
        <w:tc>
          <w:tcPr>
            <w:gridSpan w:val="2"/>
            <w:vAlign w:val="center"/>
          </w:tcPr>
          <w:p>
            <w:pPr>
              <w:jc w:val="center"/>
              <w:rPr>
                <w:sz w:val="18"/>
                <w:szCs w:val="18"/>
              </w:rPr>
            </w:pPr>
            <w:r>
              <w:rPr>
                <w:sz w:val="18"/>
                <w:szCs w:val="18"/>
              </w:rPr>
              <w:t>9.1</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1005[卫生间]</w:t>
            </w:r>
          </w:p>
        </w:tc>
        <w:tc>
          <w:tcPr>
            <w:gridSpan w:val="2"/>
            <w:vAlign w:val="center"/>
          </w:tcPr>
          <w:p>
            <w:pPr>
              <w:jc w:val="center"/>
              <w:rPr>
                <w:sz w:val="18"/>
                <w:szCs w:val="18"/>
              </w:rPr>
            </w:pPr>
            <w:r>
              <w:rPr>
                <w:sz w:val="18"/>
                <w:szCs w:val="18"/>
              </w:rPr>
              <w:t>卫生间</w:t>
            </w:r>
          </w:p>
        </w:tc>
        <w:tc>
          <w:tcPr>
            <w:gridSpan w:val="2"/>
            <w:vAlign w:val="center"/>
          </w:tcPr>
          <w:p>
            <w:pPr>
              <w:jc w:val="center"/>
              <w:rPr>
                <w:sz w:val="18"/>
                <w:szCs w:val="18"/>
              </w:rPr>
            </w:pPr>
            <w:r>
              <w:rPr>
                <w:sz w:val="18"/>
                <w:szCs w:val="18"/>
              </w:rPr>
              <w:t>V</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150</w:t>
            </w:r>
          </w:p>
        </w:tc>
        <w:tc>
          <w:tcPr>
            <w:vAlign w:val="center"/>
          </w:tcPr>
          <w:p>
            <w:pPr>
              <w:jc w:val="center"/>
              <w:rPr>
                <w:sz w:val="18"/>
                <w:szCs w:val="18"/>
              </w:rPr>
            </w:pPr>
            <w:r>
              <w:rPr>
                <w:sz w:val="18"/>
                <w:szCs w:val="18"/>
              </w:rPr>
              <w:t>7.20</w:t>
            </w:r>
          </w:p>
        </w:tc>
        <w:tc>
          <w:tcPr>
            <w:gridSpan w:val="2"/>
            <w:vAlign w:val="center"/>
          </w:tcPr>
          <w:p>
            <w:pPr>
              <w:jc w:val="center"/>
              <w:rPr>
                <w:sz w:val="18"/>
                <w:szCs w:val="18"/>
              </w:rPr>
            </w:pPr>
            <w:r>
              <w:rPr>
                <w:sz w:val="18"/>
                <w:szCs w:val="18"/>
              </w:rPr>
              <w:t>9.1</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restart"/>
            <w:vAlign w:val="center"/>
          </w:tcPr>
          <w:p>
            <w:pPr>
              <w:jc w:val="center"/>
              <w:rPr>
                <w:sz w:val="18"/>
                <w:szCs w:val="18"/>
              </w:rPr>
            </w:pPr>
            <w:r>
              <w:rPr>
                <w:sz w:val="18"/>
                <w:szCs w:val="18"/>
              </w:rPr>
              <w:t>2</w:t>
            </w:r>
          </w:p>
        </w:tc>
        <w:tc>
          <w:tcPr>
            <w:gridSpan w:val="2"/>
            <w:vAlign w:val="center"/>
          </w:tcPr>
          <w:p>
            <w:pPr>
              <w:jc w:val="center"/>
              <w:rPr>
                <w:sz w:val="18"/>
                <w:szCs w:val="18"/>
              </w:rPr>
            </w:pPr>
            <w:r>
              <w:rPr>
                <w:sz w:val="18"/>
                <w:szCs w:val="18"/>
              </w:rPr>
              <w:t>2001[会议室]</w:t>
            </w:r>
          </w:p>
        </w:tc>
        <w:tc>
          <w:tcPr>
            <w:gridSpan w:val="2"/>
            <w:vAlign w:val="center"/>
          </w:tcPr>
          <w:p>
            <w:pPr>
              <w:jc w:val="center"/>
              <w:rPr>
                <w:sz w:val="18"/>
                <w:szCs w:val="18"/>
              </w:rPr>
            </w:pPr>
            <w:r>
              <w:rPr>
                <w:sz w:val="18"/>
                <w:szCs w:val="18"/>
              </w:rPr>
              <w:t>会议室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450</w:t>
            </w:r>
          </w:p>
        </w:tc>
        <w:tc>
          <w:tcPr>
            <w:vAlign w:val="center"/>
          </w:tcPr>
          <w:p>
            <w:pPr>
              <w:jc w:val="center"/>
              <w:rPr>
                <w:sz w:val="18"/>
                <w:szCs w:val="18"/>
              </w:rPr>
            </w:pPr>
            <w:r>
              <w:rPr>
                <w:sz w:val="18"/>
                <w:szCs w:val="18"/>
              </w:rPr>
              <w:t>69.47</w:t>
            </w:r>
          </w:p>
        </w:tc>
        <w:tc>
          <w:tcPr>
            <w:gridSpan w:val="2"/>
            <w:vAlign w:val="center"/>
          </w:tcPr>
          <w:p>
            <w:pPr>
              <w:jc w:val="center"/>
              <w:rPr>
                <w:sz w:val="18"/>
                <w:szCs w:val="18"/>
              </w:rPr>
            </w:pPr>
            <w:r>
              <w:rPr>
                <w:sz w:val="18"/>
                <w:szCs w:val="18"/>
              </w:rPr>
              <w:t>8.5</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2001[办公室]</w:t>
            </w:r>
          </w:p>
        </w:tc>
        <w:tc>
          <w:tcPr>
            <w:gridSpan w:val="2"/>
            <w:vAlign w:val="center"/>
          </w:tcPr>
          <w:p>
            <w:pPr>
              <w:jc w:val="center"/>
              <w:rPr>
                <w:sz w:val="18"/>
                <w:szCs w:val="18"/>
              </w:rPr>
            </w:pPr>
            <w:r>
              <w:rPr>
                <w:sz w:val="18"/>
                <w:szCs w:val="18"/>
              </w:rPr>
              <w:t>办公室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450</w:t>
            </w:r>
          </w:p>
        </w:tc>
        <w:tc>
          <w:tcPr>
            <w:vAlign w:val="center"/>
          </w:tcPr>
          <w:p>
            <w:pPr>
              <w:jc w:val="center"/>
              <w:rPr>
                <w:sz w:val="18"/>
                <w:szCs w:val="18"/>
              </w:rPr>
            </w:pPr>
            <w:r>
              <w:rPr>
                <w:sz w:val="18"/>
                <w:szCs w:val="18"/>
              </w:rPr>
              <w:t>117.04</w:t>
            </w:r>
          </w:p>
        </w:tc>
        <w:tc>
          <w:tcPr>
            <w:gridSpan w:val="2"/>
            <w:vAlign w:val="center"/>
          </w:tcPr>
          <w:p>
            <w:pPr>
              <w:jc w:val="center"/>
              <w:rPr>
                <w:sz w:val="18"/>
                <w:szCs w:val="18"/>
              </w:rPr>
            </w:pPr>
            <w:r>
              <w:rPr>
                <w:sz w:val="18"/>
                <w:szCs w:val="18"/>
              </w:rPr>
              <w:t>8.7</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2003[楼梯间]</w:t>
            </w:r>
          </w:p>
        </w:tc>
        <w:tc>
          <w:tcPr>
            <w:gridSpan w:val="2"/>
            <w:vAlign w:val="center"/>
          </w:tcPr>
          <w:p>
            <w:pPr>
              <w:jc w:val="center"/>
              <w:rPr>
                <w:sz w:val="18"/>
                <w:szCs w:val="18"/>
              </w:rPr>
            </w:pPr>
            <w:r>
              <w:rPr>
                <w:sz w:val="18"/>
                <w:szCs w:val="18"/>
              </w:rPr>
              <w:t>楼梯间</w:t>
            </w:r>
          </w:p>
        </w:tc>
        <w:tc>
          <w:tcPr>
            <w:gridSpan w:val="2"/>
            <w:vAlign w:val="center"/>
          </w:tcPr>
          <w:p>
            <w:pPr>
              <w:jc w:val="center"/>
              <w:rPr>
                <w:sz w:val="18"/>
                <w:szCs w:val="18"/>
              </w:rPr>
            </w:pPr>
            <w:r>
              <w:rPr>
                <w:sz w:val="18"/>
                <w:szCs w:val="18"/>
              </w:rPr>
              <w:t>V</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150</w:t>
            </w:r>
          </w:p>
        </w:tc>
        <w:tc>
          <w:tcPr>
            <w:vAlign w:val="center"/>
          </w:tcPr>
          <w:p>
            <w:pPr>
              <w:jc w:val="center"/>
              <w:rPr>
                <w:sz w:val="18"/>
                <w:szCs w:val="18"/>
              </w:rPr>
            </w:pPr>
            <w:r>
              <w:rPr>
                <w:sz w:val="18"/>
                <w:szCs w:val="18"/>
              </w:rPr>
              <w:t>19.20</w:t>
            </w:r>
          </w:p>
        </w:tc>
        <w:tc>
          <w:tcPr>
            <w:gridSpan w:val="2"/>
            <w:vAlign w:val="center"/>
          </w:tcPr>
          <w:p>
            <w:pPr>
              <w:jc w:val="center"/>
              <w:rPr>
                <w:sz w:val="18"/>
                <w:szCs w:val="18"/>
              </w:rPr>
            </w:pPr>
            <w:r>
              <w:rPr>
                <w:sz w:val="18"/>
                <w:szCs w:val="18"/>
              </w:rPr>
              <w:t>9.2</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2004[卫生间]</w:t>
            </w:r>
          </w:p>
        </w:tc>
        <w:tc>
          <w:tcPr>
            <w:gridSpan w:val="2"/>
            <w:vAlign w:val="center"/>
          </w:tcPr>
          <w:p>
            <w:pPr>
              <w:jc w:val="center"/>
              <w:rPr>
                <w:sz w:val="18"/>
                <w:szCs w:val="18"/>
              </w:rPr>
            </w:pPr>
            <w:r>
              <w:rPr>
                <w:sz w:val="18"/>
                <w:szCs w:val="18"/>
              </w:rPr>
              <w:t>卫生间</w:t>
            </w:r>
          </w:p>
        </w:tc>
        <w:tc>
          <w:tcPr>
            <w:gridSpan w:val="2"/>
            <w:vAlign w:val="center"/>
          </w:tcPr>
          <w:p>
            <w:pPr>
              <w:jc w:val="center"/>
              <w:rPr>
                <w:sz w:val="18"/>
                <w:szCs w:val="18"/>
              </w:rPr>
            </w:pPr>
            <w:r>
              <w:rPr>
                <w:sz w:val="18"/>
                <w:szCs w:val="18"/>
              </w:rPr>
              <w:t>V</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150</w:t>
            </w:r>
          </w:p>
        </w:tc>
        <w:tc>
          <w:tcPr>
            <w:vAlign w:val="center"/>
          </w:tcPr>
          <w:p>
            <w:pPr>
              <w:jc w:val="center"/>
              <w:rPr>
                <w:sz w:val="18"/>
                <w:szCs w:val="18"/>
              </w:rPr>
            </w:pPr>
            <w:r>
              <w:rPr>
                <w:sz w:val="18"/>
                <w:szCs w:val="18"/>
              </w:rPr>
              <w:t>7.68</w:t>
            </w:r>
          </w:p>
        </w:tc>
        <w:tc>
          <w:tcPr>
            <w:gridSpan w:val="2"/>
            <w:vAlign w:val="center"/>
          </w:tcPr>
          <w:p>
            <w:pPr>
              <w:jc w:val="center"/>
              <w:rPr>
                <w:sz w:val="18"/>
                <w:szCs w:val="18"/>
              </w:rPr>
            </w:pPr>
            <w:r>
              <w:rPr>
                <w:sz w:val="18"/>
                <w:szCs w:val="18"/>
              </w:rPr>
              <w:t>9.0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2005[卫生间]</w:t>
            </w:r>
          </w:p>
        </w:tc>
        <w:tc>
          <w:tcPr>
            <w:gridSpan w:val="2"/>
            <w:vAlign w:val="center"/>
          </w:tcPr>
          <w:p>
            <w:pPr>
              <w:jc w:val="center"/>
              <w:rPr>
                <w:sz w:val="18"/>
                <w:szCs w:val="18"/>
              </w:rPr>
            </w:pPr>
            <w:r>
              <w:rPr>
                <w:sz w:val="18"/>
                <w:szCs w:val="18"/>
              </w:rPr>
              <w:t>卫生间</w:t>
            </w:r>
          </w:p>
        </w:tc>
        <w:tc>
          <w:tcPr>
            <w:gridSpan w:val="2"/>
            <w:vAlign w:val="center"/>
          </w:tcPr>
          <w:p>
            <w:pPr>
              <w:jc w:val="center"/>
              <w:rPr>
                <w:sz w:val="18"/>
                <w:szCs w:val="18"/>
              </w:rPr>
            </w:pPr>
            <w:r>
              <w:rPr>
                <w:sz w:val="18"/>
                <w:szCs w:val="18"/>
              </w:rPr>
              <w:t>V</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150</w:t>
            </w:r>
          </w:p>
        </w:tc>
        <w:tc>
          <w:tcPr>
            <w:vAlign w:val="center"/>
          </w:tcPr>
          <w:p>
            <w:pPr>
              <w:jc w:val="center"/>
              <w:rPr>
                <w:sz w:val="18"/>
                <w:szCs w:val="18"/>
              </w:rPr>
            </w:pPr>
            <w:r>
              <w:rPr>
                <w:sz w:val="18"/>
                <w:szCs w:val="18"/>
              </w:rPr>
              <w:t>7.20</w:t>
            </w:r>
          </w:p>
        </w:tc>
        <w:tc>
          <w:tcPr>
            <w:gridSpan w:val="2"/>
            <w:vAlign w:val="center"/>
          </w:tcPr>
          <w:p>
            <w:pPr>
              <w:jc w:val="center"/>
              <w:rPr>
                <w:sz w:val="18"/>
                <w:szCs w:val="18"/>
              </w:rPr>
            </w:pPr>
            <w:r>
              <w:rPr>
                <w:sz w:val="18"/>
                <w:szCs w:val="18"/>
              </w:rPr>
              <w:t>9.0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pPr>
              <w:jc w:val="center"/>
            </w:pPr>
            <w:r>
              <w:t>房间类型</w:t>
            </w:r>
          </w:p>
        </w:tc>
        <w:tc>
          <w:tcPr>
            <w:gridSpan w:val="2"/>
            <w:shd w:val="clear" w:color="auto" w:fill="E6E6E6"/>
            <w:vAlign w:val="center"/>
          </w:tcPr>
          <w:p>
            <w:pPr>
              <w:jc w:val="center"/>
            </w:pPr>
            <w:r>
              <w:t>采光类型</w:t>
            </w:r>
          </w:p>
        </w:tc>
        <w:tc>
          <w:tcPr>
            <w:gridSpan w:val="2"/>
            <w:shd w:val="clear" w:color="auto" w:fill="E6E6E6"/>
            <w:vAlign w:val="center"/>
          </w:tcPr>
          <w:p>
            <w:pPr>
              <w:jc w:val="center"/>
            </w:pPr>
            <w:r>
              <w:t>设计照度(Lx)</w:t>
            </w:r>
          </w:p>
        </w:tc>
        <w:tc>
          <w:tcPr>
            <w:gridSpan w:val="3"/>
            <w:shd w:val="clear" w:color="auto" w:fill="E6E6E6"/>
            <w:vAlign w:val="center"/>
          </w:tcPr>
          <w:p>
            <w:pPr>
              <w:jc w:val="center"/>
            </w:pPr>
            <w:r>
              <w:t>总面积(m2)</w:t>
            </w:r>
          </w:p>
        </w:tc>
        <w:tc>
          <w:tcPr>
            <w:gridSpan w:val="3"/>
            <w:shd w:val="clear" w:color="auto" w:fill="E6E6E6"/>
            <w:vAlign w:val="center"/>
          </w:tcPr>
          <w:p>
            <w:pPr>
              <w:jc w:val="center"/>
            </w:pPr>
            <w:r>
              <w:t>达标时数(h/d)</w:t>
            </w:r>
          </w:p>
        </w:tc>
        <w:tc>
          <w:tcPr>
            <w:gridSpan w:val="3"/>
            <w:shd w:val="clear" w:color="auto" w:fill="E6E6E6"/>
            <w:vAlign w:val="center"/>
          </w:tcPr>
          <w:p>
            <w:pPr>
              <w:jc w:val="center"/>
            </w:pPr>
            <w:r>
              <w:t>结论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pPr>
              <w:jc w:val="center"/>
            </w:pPr>
            <w:r>
              <w:t>登录厅</w:t>
            </w:r>
          </w:p>
        </w:tc>
        <w:tc>
          <w:tcPr>
            <w:gridSpan w:val="2"/>
            <w:vAlign w:val="center"/>
          </w:tcPr>
          <w:p>
            <w:pPr>
              <w:jc w:val="center"/>
            </w:pPr>
            <w:r>
              <w:t>侧面</w:t>
            </w:r>
          </w:p>
        </w:tc>
        <w:tc>
          <w:tcPr>
            <w:gridSpan w:val="2"/>
            <w:vAlign w:val="center"/>
          </w:tcPr>
          <w:p>
            <w:pPr>
              <w:jc w:val="center"/>
            </w:pPr>
            <w:r>
              <w:t>300</w:t>
            </w:r>
          </w:p>
        </w:tc>
        <w:tc>
          <w:tcPr>
            <w:gridSpan w:val="3"/>
            <w:vAlign w:val="center"/>
          </w:tcPr>
          <w:p>
            <w:pPr>
              <w:jc w:val="center"/>
            </w:pPr>
            <w:r>
              <w:t>69.28</w:t>
            </w:r>
          </w:p>
        </w:tc>
        <w:tc>
          <w:tcPr>
            <w:gridSpan w:val="3"/>
            <w:vAlign w:val="center"/>
          </w:tcPr>
          <w:p>
            <w:pPr>
              <w:jc w:val="center"/>
            </w:pPr>
            <w:r>
              <w:t>9.1</w:t>
            </w:r>
          </w:p>
        </w:tc>
        <w:tc>
          <w:tcPr>
            <w:gridSpan w:val="3"/>
            <w:vAlign w:val="center"/>
          </w:tcPr>
          <w:p>
            <w:pPr>
              <w:jc w:val="center"/>
            </w:pPr>
            <w: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pPr>
              <w:jc w:val="center"/>
            </w:pPr>
            <w:r>
              <w:t>楼梯间</w:t>
            </w:r>
          </w:p>
        </w:tc>
        <w:tc>
          <w:tcPr>
            <w:gridSpan w:val="2"/>
            <w:vAlign w:val="center"/>
          </w:tcPr>
          <w:p>
            <w:pPr>
              <w:jc w:val="center"/>
            </w:pPr>
            <w:r>
              <w:t>侧面</w:t>
            </w:r>
          </w:p>
        </w:tc>
        <w:tc>
          <w:tcPr>
            <w:gridSpan w:val="2"/>
            <w:vAlign w:val="center"/>
          </w:tcPr>
          <w:p>
            <w:pPr>
              <w:jc w:val="center"/>
            </w:pPr>
            <w:r>
              <w:t>150</w:t>
            </w:r>
          </w:p>
        </w:tc>
        <w:tc>
          <w:tcPr>
            <w:gridSpan w:val="3"/>
            <w:vAlign w:val="center"/>
          </w:tcPr>
          <w:p>
            <w:pPr>
              <w:jc w:val="center"/>
            </w:pPr>
            <w:r>
              <w:t>38.40</w:t>
            </w:r>
          </w:p>
        </w:tc>
        <w:tc>
          <w:tcPr>
            <w:gridSpan w:val="3"/>
            <w:vAlign w:val="center"/>
          </w:tcPr>
          <w:p>
            <w:pPr>
              <w:jc w:val="center"/>
            </w:pPr>
            <w:r>
              <w:t>9.3</w:t>
            </w:r>
          </w:p>
        </w:tc>
        <w:tc>
          <w:tcPr>
            <w:gridSpan w:val="3"/>
            <w:vAlign w:val="center"/>
          </w:tcPr>
          <w:p>
            <w:pPr>
              <w:jc w:val="center"/>
            </w:pPr>
            <w: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pPr>
              <w:jc w:val="center"/>
            </w:pPr>
            <w:r>
              <w:t>卫生间</w:t>
            </w:r>
          </w:p>
        </w:tc>
        <w:tc>
          <w:tcPr>
            <w:gridSpan w:val="2"/>
            <w:vAlign w:val="center"/>
          </w:tcPr>
          <w:p>
            <w:pPr>
              <w:jc w:val="center"/>
            </w:pPr>
            <w:r>
              <w:t>侧面</w:t>
            </w:r>
          </w:p>
        </w:tc>
        <w:tc>
          <w:tcPr>
            <w:gridSpan w:val="2"/>
            <w:vAlign w:val="center"/>
          </w:tcPr>
          <w:p>
            <w:pPr>
              <w:jc w:val="center"/>
            </w:pPr>
            <w:r>
              <w:t>150</w:t>
            </w:r>
          </w:p>
        </w:tc>
        <w:tc>
          <w:tcPr>
            <w:gridSpan w:val="3"/>
            <w:vAlign w:val="center"/>
          </w:tcPr>
          <w:p>
            <w:pPr>
              <w:jc w:val="center"/>
            </w:pPr>
            <w:r>
              <w:t>29.76</w:t>
            </w:r>
          </w:p>
        </w:tc>
        <w:tc>
          <w:tcPr>
            <w:gridSpan w:val="3"/>
            <w:vAlign w:val="center"/>
          </w:tcPr>
          <w:p>
            <w:pPr>
              <w:jc w:val="center"/>
            </w:pPr>
            <w:r>
              <w:t>9.1</w:t>
            </w:r>
          </w:p>
        </w:tc>
        <w:tc>
          <w:tcPr>
            <w:gridSpan w:val="3"/>
            <w:vAlign w:val="center"/>
          </w:tcPr>
          <w:p>
            <w:pPr>
              <w:jc w:val="center"/>
            </w:pPr>
            <w: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pPr>
              <w:jc w:val="center"/>
            </w:pPr>
            <w:r>
              <w:t>会议室</w:t>
            </w:r>
          </w:p>
        </w:tc>
        <w:tc>
          <w:tcPr>
            <w:gridSpan w:val="2"/>
            <w:vAlign w:val="center"/>
          </w:tcPr>
          <w:p>
            <w:pPr>
              <w:jc w:val="center"/>
            </w:pPr>
            <w:r>
              <w:t>侧面</w:t>
            </w:r>
          </w:p>
        </w:tc>
        <w:tc>
          <w:tcPr>
            <w:gridSpan w:val="2"/>
            <w:vAlign w:val="center"/>
          </w:tcPr>
          <w:p>
            <w:pPr>
              <w:jc w:val="center"/>
            </w:pPr>
            <w:r>
              <w:t>450</w:t>
            </w:r>
          </w:p>
        </w:tc>
        <w:tc>
          <w:tcPr>
            <w:gridSpan w:val="3"/>
            <w:vAlign w:val="center"/>
          </w:tcPr>
          <w:p>
            <w:pPr>
              <w:jc w:val="center"/>
            </w:pPr>
            <w:r>
              <w:t>69.47</w:t>
            </w:r>
          </w:p>
        </w:tc>
        <w:tc>
          <w:tcPr>
            <w:gridSpan w:val="3"/>
            <w:vAlign w:val="center"/>
          </w:tcPr>
          <w:p>
            <w:pPr>
              <w:jc w:val="center"/>
            </w:pPr>
            <w:r>
              <w:t>8.5</w:t>
            </w:r>
          </w:p>
        </w:tc>
        <w:tc>
          <w:tcPr>
            <w:gridSpan w:val="3"/>
            <w:vAlign w:val="center"/>
          </w:tcPr>
          <w:p>
            <w:pPr>
              <w:jc w:val="center"/>
            </w:pPr>
            <w: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pPr>
              <w:jc w:val="center"/>
            </w:pPr>
            <w:r>
              <w:t>办公室</w:t>
            </w:r>
          </w:p>
        </w:tc>
        <w:tc>
          <w:tcPr>
            <w:gridSpan w:val="2"/>
            <w:vAlign w:val="center"/>
          </w:tcPr>
          <w:p>
            <w:pPr>
              <w:jc w:val="center"/>
            </w:pPr>
            <w:r>
              <w:t>侧面</w:t>
            </w:r>
          </w:p>
        </w:tc>
        <w:tc>
          <w:tcPr>
            <w:gridSpan w:val="2"/>
            <w:vAlign w:val="center"/>
          </w:tcPr>
          <w:p>
            <w:pPr>
              <w:jc w:val="center"/>
            </w:pPr>
            <w:r>
              <w:t>450</w:t>
            </w:r>
          </w:p>
        </w:tc>
        <w:tc>
          <w:tcPr>
            <w:gridSpan w:val="3"/>
            <w:vAlign w:val="center"/>
          </w:tcPr>
          <w:p>
            <w:pPr>
              <w:jc w:val="center"/>
            </w:pPr>
            <w:r>
              <w:t>117.04</w:t>
            </w:r>
          </w:p>
        </w:tc>
        <w:tc>
          <w:tcPr>
            <w:gridSpan w:val="3"/>
            <w:vAlign w:val="center"/>
          </w:tcPr>
          <w:p>
            <w:pPr>
              <w:jc w:val="center"/>
            </w:pPr>
            <w:r>
              <w:t>8.7</w:t>
            </w:r>
          </w:p>
        </w:tc>
        <w:tc>
          <w:tcPr>
            <w:gridSpan w:val="3"/>
            <w:vAlign w:val="center"/>
          </w:tcPr>
          <w:p>
            <w:pPr>
              <w:jc w:val="center"/>
            </w:pPr>
            <w: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pPr>
              <w:jc w:val="center"/>
            </w:pPr>
            <w:r>
              <w:t>多区域面积加权平均</w:t>
            </w:r>
          </w:p>
        </w:tc>
        <w:tc>
          <w:tcPr>
            <w:gridSpan w:val="3"/>
            <w:vAlign w:val="center"/>
          </w:tcPr>
          <w:p>
            <w:pPr>
              <w:jc w:val="center"/>
            </w:pPr>
            <w:r>
              <w:rPr>
                <w:b/>
              </w:rPr>
              <w:t>8.8</w:t>
            </w:r>
          </w:p>
        </w:tc>
        <w:tc>
          <w:tcPr>
            <w:gridSpan w:val="3"/>
            <w:vAlign w:val="center"/>
          </w:tcPr>
          <w:p>
            <w:pPr>
              <w:jc w:val="center"/>
            </w:pPr>
            <w:r>
              <w:rPr>
                <w:b/>
              </w:rPr>
              <w:t>4分</w:t>
            </w:r>
          </w:p>
        </w:tc>
      </w:tr>
    </w:tbl>
    <w:p>
      <w:pPr>
        <w:pStyle w:val="3"/>
        <w:rPr>
          <w:rFonts w:hint="eastAsia" w:ascii="宋体" w:hAnsi="宋体"/>
          <w:sz w:val="18"/>
          <w:szCs w:val="18"/>
          <w:lang w:val="en-US"/>
        </w:rPr>
      </w:pPr>
      <w:bookmarkStart w:id="81" w:name="达标率表格"/>
      <w:bookmarkEnd w:id="81"/>
    </w:p>
    <w:p>
      <w:pPr>
        <w:pStyle w:val="2"/>
        <w:ind w:left="432" w:hanging="432"/>
      </w:pPr>
      <w:bookmarkStart w:id="82" w:name="_Toc513555457"/>
      <w:bookmarkStart w:id="83" w:name="_Toc27379"/>
      <w:r>
        <w:rPr>
          <w:rFonts w:hint="eastAsia"/>
        </w:rPr>
        <w:t>动态采光</w:t>
      </w:r>
      <w:bookmarkEnd w:id="82"/>
      <w:r>
        <w:rPr>
          <w:rFonts w:hint="eastAsia"/>
        </w:rPr>
        <w:t>统计图</w:t>
      </w:r>
      <w:bookmarkEnd w:id="83"/>
    </w:p>
    <w:p>
      <w:pPr>
        <w:pStyle w:val="3"/>
        <w:ind w:firstLine="420" w:firstLineChars="200"/>
        <w:rPr>
          <w:rFonts w:hint="eastAsia"/>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pPr>
        <w:pStyle w:val="3"/>
        <w:jc w:val="center"/>
        <w:rPr>
          <w:rFonts w:hint="eastAsia"/>
          <w:b/>
          <w:bCs/>
          <w:lang w:val="en-US"/>
        </w:rPr>
      </w:pPr>
      <w:bookmarkStart w:id="84" w:name="逐日统计图"/>
      <w:bookmarkEnd w:id="84"/>
      <w:r>
        <w:drawing>
          <wp:inline distT="0" distB="0" distL="0" distR="0">
            <wp:extent cx="5667375" cy="285750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0"/>
                    <a:stretch>
                      <a:fillRect/>
                    </a:stretch>
                  </pic:blipFill>
                  <pic:spPr>
                    <a:xfrm>
                      <a:off x="0" y="0"/>
                      <a:ext cx="5667375" cy="2857500"/>
                    </a:xfrm>
                    <a:prstGeom prst="rect">
                      <a:avLst/>
                    </a:prstGeom>
                  </pic:spPr>
                </pic:pic>
              </a:graphicData>
            </a:graphic>
          </wp:inline>
        </w:drawing>
      </w:r>
    </w:p>
    <w:p>
      <w:pPr>
        <w:pStyle w:val="3"/>
        <w:jc w:val="center"/>
        <w:rPr>
          <w:rFonts w:hint="eastAsia" w:ascii="黑体" w:hAnsi="黑体" w:eastAsia="黑体"/>
          <w:lang w:val="en-US"/>
        </w:rPr>
      </w:pPr>
      <w:r>
        <w:rPr>
          <w:rFonts w:hint="eastAsia" w:ascii="黑体" w:hAnsi="黑体" w:eastAsia="黑体"/>
          <w:lang w:val="en-US"/>
        </w:rPr>
        <w:t>动态采光逐日统计图</w:t>
      </w:r>
    </w:p>
    <w:p>
      <w:pPr>
        <w:pStyle w:val="3"/>
        <w:jc w:val="center"/>
        <w:rPr>
          <w:rFonts w:hint="eastAsia"/>
          <w:b/>
          <w:bCs/>
          <w:lang w:val="en-US"/>
        </w:rPr>
      </w:pPr>
      <w:bookmarkStart w:id="85" w:name="逐月统计图"/>
      <w:bookmarkEnd w:id="85"/>
      <w:r>
        <w:drawing>
          <wp:inline distT="0" distB="0" distL="0" distR="0">
            <wp:extent cx="5667375" cy="294322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1"/>
                    <a:stretch>
                      <a:fillRect/>
                    </a:stretch>
                  </pic:blipFill>
                  <pic:spPr>
                    <a:xfrm>
                      <a:off x="0" y="0"/>
                      <a:ext cx="5667375" cy="2943225"/>
                    </a:xfrm>
                    <a:prstGeom prst="rect">
                      <a:avLst/>
                    </a:prstGeom>
                  </pic:spPr>
                </pic:pic>
              </a:graphicData>
            </a:graphic>
          </wp:inline>
        </w:drawing>
      </w:r>
    </w:p>
    <w:p>
      <w:pPr>
        <w:pStyle w:val="3"/>
        <w:jc w:val="center"/>
        <w:rPr>
          <w:rFonts w:hint="eastAsia" w:ascii="黑体" w:hAnsi="黑体" w:eastAsia="黑体"/>
          <w:lang w:val="en-US"/>
        </w:rPr>
      </w:pPr>
      <w:r>
        <w:rPr>
          <w:rFonts w:hint="eastAsia" w:ascii="黑体" w:hAnsi="黑体" w:eastAsia="黑体"/>
          <w:lang w:val="en-US"/>
        </w:rPr>
        <w:t>动态采光逐月统计图</w:t>
      </w:r>
    </w:p>
    <w:p>
      <w:pPr>
        <w:pStyle w:val="2"/>
        <w:ind w:left="432" w:hanging="432"/>
      </w:pPr>
      <w:bookmarkStart w:id="86" w:name="动态采光彩图"/>
      <w:bookmarkStart w:id="87" w:name="_Toc15316"/>
      <w:r>
        <w:t>动态采光彩图</w:t>
      </w:r>
      <w:bookmarkEnd w:id="86"/>
      <w:bookmarkEnd w:id="87"/>
    </w:p>
    <w:p>
      <w:pPr>
        <w:jc w:val="center"/>
        <w:rPr>
          <w:rFonts w:hint="eastAsia" w:eastAsia="微软雅黑"/>
          <w:lang w:eastAsia="zh-CN"/>
        </w:rPr>
      </w:pPr>
      <w:r>
        <w:rPr>
          <w:rFonts w:hint="eastAsia" w:eastAsia="微软雅黑"/>
          <w:lang w:eastAsia="zh-CN"/>
        </w:rPr>
        <w:drawing>
          <wp:inline distT="0" distB="0" distL="114300" distR="114300">
            <wp:extent cx="5756910" cy="4641215"/>
            <wp:effectExtent l="0" t="0" r="8890" b="6985"/>
            <wp:docPr id="2" name="图片 2"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1"/>
                    <pic:cNvPicPr>
                      <a:picLocks noChangeAspect="1"/>
                    </pic:cNvPicPr>
                  </pic:nvPicPr>
                  <pic:blipFill>
                    <a:blip r:embed="rId12"/>
                    <a:stretch>
                      <a:fillRect/>
                    </a:stretch>
                  </pic:blipFill>
                  <pic:spPr>
                    <a:xfrm>
                      <a:off x="0" y="0"/>
                      <a:ext cx="5756910" cy="4641215"/>
                    </a:xfrm>
                    <a:prstGeom prst="rect">
                      <a:avLst/>
                    </a:prstGeom>
                  </pic:spPr>
                </pic:pic>
              </a:graphicData>
            </a:graphic>
          </wp:inline>
        </w:drawing>
      </w:r>
    </w:p>
    <w:p>
      <w:pPr>
        <w:jc w:val="center"/>
        <w:rPr>
          <w:rFonts w:hint="eastAsia"/>
        </w:rPr>
      </w:pPr>
      <w:r>
        <w:rPr>
          <w:rFonts w:hint="eastAsia"/>
        </w:rPr>
        <w:t>1层</w:t>
      </w:r>
    </w:p>
    <w:p>
      <w:pPr>
        <w:jc w:val="center"/>
        <w:rPr>
          <w:rFonts w:hint="eastAsia"/>
        </w:rPr>
      </w:pPr>
      <w:r>
        <w:drawing>
          <wp:inline distT="0" distB="0" distL="0" distR="0">
            <wp:extent cx="5667375" cy="438150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3"/>
                    <a:stretch>
                      <a:fillRect/>
                    </a:stretch>
                  </pic:blipFill>
                  <pic:spPr>
                    <a:xfrm>
                      <a:off x="0" y="0"/>
                      <a:ext cx="5667375" cy="4381500"/>
                    </a:xfrm>
                    <a:prstGeom prst="rect">
                      <a:avLst/>
                    </a:prstGeom>
                  </pic:spPr>
                </pic:pic>
              </a:graphicData>
            </a:graphic>
          </wp:inline>
        </w:drawing>
      </w:r>
    </w:p>
    <w:p>
      <w:pPr>
        <w:jc w:val="center"/>
        <w:rPr>
          <w:rFonts w:hint="eastAsia"/>
        </w:rPr>
      </w:pPr>
      <w:r>
        <w:rPr>
          <w:rFonts w:hint="eastAsia"/>
        </w:rPr>
        <w:t>2层</w:t>
      </w:r>
    </w:p>
    <w:p>
      <w:pPr>
        <w:jc w:val="center"/>
        <w:rPr>
          <w:rFonts w:hint="eastAsia"/>
        </w:rPr>
      </w:pPr>
    </w:p>
    <w:p>
      <w:pPr>
        <w:pStyle w:val="2"/>
        <w:ind w:left="432" w:hanging="432"/>
      </w:pPr>
      <w:bookmarkStart w:id="88" w:name="_Toc18215"/>
      <w:r>
        <w:rPr>
          <w:rFonts w:hint="eastAsia"/>
        </w:rPr>
        <w:t>评价结论</w:t>
      </w:r>
      <w:bookmarkEnd w:id="88"/>
    </w:p>
    <w:p>
      <w:pPr>
        <w:pStyle w:val="3"/>
        <w:ind w:firstLine="420" w:firstLineChars="200"/>
        <w:rPr>
          <w:rFonts w:hint="eastAsia"/>
        </w:rPr>
      </w:pPr>
      <w:bookmarkStart w:id="89" w:name="标准名称3"/>
      <w:r>
        <w:t>《绿色建筑评价标准》GB/T 50378-2019（2024年版）</w:t>
      </w:r>
      <w:bookmarkEnd w:id="89"/>
      <w:r>
        <w:t>的</w:t>
      </w:r>
      <w:r>
        <w:rPr>
          <w:rFonts w:hint="eastAsia"/>
        </w:rPr>
        <w:t>5</w:t>
      </w:r>
      <w:r>
        <w:t>.2.8条</w:t>
      </w:r>
      <w:r>
        <w:rPr>
          <w:rFonts w:hint="eastAsia"/>
        </w:rPr>
        <w:t>对</w:t>
      </w:r>
      <w:r>
        <w:t>公共建筑主要功能房间</w:t>
      </w:r>
      <w:r>
        <w:rPr>
          <w:rFonts w:hint="eastAsia"/>
        </w:rPr>
        <w:t>动态</w:t>
      </w:r>
      <w:r>
        <w:t>采光</w:t>
      </w:r>
      <w:r>
        <w:rPr>
          <w:rFonts w:hint="eastAsia"/>
          <w:lang w:val="en-US" w:eastAsia="zh-CN"/>
        </w:rPr>
        <w:t>指标</w:t>
      </w:r>
      <w:r>
        <w:rPr>
          <w:rFonts w:hint="eastAsia"/>
        </w:rPr>
        <w:t>作</w:t>
      </w:r>
      <w:r>
        <w:t>出要求。本项目</w:t>
      </w:r>
      <w:r>
        <w:rPr>
          <w:rFonts w:hint="eastAsia"/>
        </w:rPr>
        <w:t>对</w:t>
      </w:r>
      <w:r>
        <w:t>建筑室内空间</w:t>
      </w:r>
      <w:r>
        <w:rPr>
          <w:rFonts w:hint="eastAsia"/>
        </w:rPr>
        <w:t>进行</w:t>
      </w:r>
      <w:r>
        <w:t>全年</w:t>
      </w:r>
      <w:r>
        <w:rPr>
          <w:rFonts w:hint="eastAsia"/>
        </w:rPr>
        <w:t>动态采光分析，</w:t>
      </w:r>
      <w:r>
        <w:rPr>
          <w:rFonts w:hint="eastAsia"/>
          <w:lang w:val="en-US" w:eastAsia="zh-CN"/>
        </w:rPr>
        <w:t>统计结果</w:t>
      </w:r>
      <w:r>
        <w:rPr>
          <w:rFonts w:hint="eastAsia"/>
        </w:rPr>
        <w:t>如下</w:t>
      </w:r>
      <w:r>
        <w:t>所示：</w:t>
      </w:r>
    </w:p>
    <w:tbl>
      <w:tblPr>
        <w:tblStyle w:val="22"/>
        <w:tblW w:w="91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2528"/>
        <w:gridCol w:w="2126"/>
        <w:gridCol w:w="2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shd w:val="clear" w:color="auto" w:fill="E6E6E6"/>
            <w:vAlign w:val="center"/>
          </w:tcPr>
          <w:p>
            <w:pPr>
              <w:jc w:val="center"/>
              <w:rPr>
                <w:rFonts w:hint="eastAsia"/>
              </w:rPr>
            </w:pPr>
            <w:r>
              <w:t>采光总面积（</w:t>
            </w:r>
            <w:r>
              <w:rPr>
                <w:rFonts w:hint="eastAsia"/>
              </w:rPr>
              <w:t>m</w:t>
            </w:r>
            <w:r>
              <w:rPr>
                <w:vertAlign w:val="superscript"/>
              </w:rPr>
              <w:t>2</w:t>
            </w:r>
            <w:r>
              <w:t>）</w:t>
            </w:r>
          </w:p>
        </w:tc>
        <w:tc>
          <w:tcPr>
            <w:tcW w:w="2528" w:type="dxa"/>
            <w:shd w:val="clear" w:color="auto" w:fill="E6E6E6"/>
            <w:vAlign w:val="center"/>
          </w:tcPr>
          <w:p>
            <w:pPr>
              <w:jc w:val="center"/>
              <w:rPr>
                <w:rFonts w:hint="eastAsia"/>
              </w:rPr>
            </w:pPr>
            <w:bookmarkStart w:id="90" w:name="动态评价指标"/>
            <w:r>
              <w:rPr>
                <w:rFonts w:hint="eastAsia"/>
              </w:rPr>
              <w:t>达标时数（h/d）</w:t>
            </w:r>
            <w:bookmarkEnd w:id="90"/>
          </w:p>
        </w:tc>
        <w:tc>
          <w:tcPr>
            <w:tcW w:w="2126" w:type="dxa"/>
            <w:shd w:val="clear" w:color="auto" w:fill="E6E6E6"/>
            <w:vAlign w:val="center"/>
          </w:tcPr>
          <w:p>
            <w:pPr>
              <w:jc w:val="center"/>
              <w:rPr>
                <w:rFonts w:hint="eastAsia"/>
              </w:rPr>
            </w:pPr>
            <w:r>
              <w:rPr>
                <w:rFonts w:hint="eastAsia"/>
              </w:rPr>
              <w:t>标准</w:t>
            </w:r>
            <w:r>
              <w:t>要求</w:t>
            </w:r>
            <w:r>
              <w:rPr>
                <w:rFonts w:hint="eastAsia"/>
              </w:rPr>
              <w:t>（</w:t>
            </w:r>
            <w:bookmarkStart w:id="91" w:name="动态评价指标单位"/>
            <w:r>
              <w:rPr>
                <w:rFonts w:hint="eastAsia"/>
              </w:rPr>
              <w:t>h/d</w:t>
            </w:r>
            <w:bookmarkEnd w:id="91"/>
            <w:r>
              <w:rPr>
                <w:rFonts w:hint="eastAsia"/>
              </w:rPr>
              <w:t>）</w:t>
            </w:r>
          </w:p>
        </w:tc>
        <w:tc>
          <w:tcPr>
            <w:tcW w:w="2315" w:type="dxa"/>
            <w:shd w:val="clear" w:color="auto" w:fill="E6E6E6"/>
            <w:vAlign w:val="center"/>
          </w:tcPr>
          <w:p>
            <w:pPr>
              <w:jc w:val="center"/>
              <w:rPr>
                <w:rFonts w:hint="eastAsia"/>
              </w:rPr>
            </w:pPr>
            <w: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vAlign w:val="center"/>
          </w:tcPr>
          <w:p>
            <w:pPr>
              <w:pStyle w:val="3"/>
              <w:jc w:val="center"/>
              <w:rPr>
                <w:rFonts w:hint="eastAsia"/>
              </w:rPr>
            </w:pPr>
            <w:bookmarkStart w:id="92" w:name="采光面积"/>
            <w:r>
              <w:t>323.95</w:t>
            </w:r>
            <w:bookmarkEnd w:id="92"/>
          </w:p>
        </w:tc>
        <w:tc>
          <w:tcPr>
            <w:tcW w:w="2528" w:type="dxa"/>
            <w:vAlign w:val="center"/>
          </w:tcPr>
          <w:p>
            <w:pPr>
              <w:pStyle w:val="3"/>
              <w:jc w:val="center"/>
              <w:rPr>
                <w:rFonts w:hint="eastAsia"/>
              </w:rPr>
            </w:pPr>
            <w:bookmarkStart w:id="93" w:name="平均时数"/>
            <w:r>
              <w:t>8.8</w:t>
            </w:r>
            <w:bookmarkEnd w:id="93"/>
          </w:p>
        </w:tc>
        <w:tc>
          <w:tcPr>
            <w:tcW w:w="2126" w:type="dxa"/>
            <w:vAlign w:val="center"/>
          </w:tcPr>
          <w:p>
            <w:pPr>
              <w:pStyle w:val="3"/>
              <w:jc w:val="center"/>
              <w:rPr>
                <w:rFonts w:hint="eastAsia"/>
              </w:rPr>
            </w:pPr>
            <w:bookmarkStart w:id="94" w:name="动态评价指标要求"/>
            <w:r>
              <w:rPr>
                <w:rFonts w:hint="eastAsia"/>
              </w:rPr>
              <w:t>4</w:t>
            </w:r>
            <w:bookmarkEnd w:id="94"/>
          </w:p>
        </w:tc>
        <w:tc>
          <w:tcPr>
            <w:tcW w:w="2315" w:type="dxa"/>
            <w:vAlign w:val="center"/>
          </w:tcPr>
          <w:p>
            <w:pPr>
              <w:pStyle w:val="3"/>
              <w:jc w:val="center"/>
              <w:rPr>
                <w:rFonts w:hint="eastAsia"/>
              </w:rPr>
            </w:pPr>
            <w:bookmarkStart w:id="95" w:name="动态采光得分"/>
            <w:r>
              <w:rPr>
                <w:rFonts w:hint="eastAsia"/>
              </w:rPr>
              <w:t>4</w:t>
            </w:r>
            <w:bookmarkEnd w:id="95"/>
          </w:p>
        </w:tc>
      </w:tr>
    </w:tbl>
    <w:p>
      <w:pPr>
        <w:pStyle w:val="3"/>
        <w:rPr>
          <w:rFonts w:hint="eastAsia"/>
          <w:lang w:val="en-US"/>
        </w:rPr>
        <w:sectPr>
          <w:headerReference r:id="rId6" w:type="default"/>
          <w:pgSz w:w="11906" w:h="16838"/>
          <w:pgMar w:top="1440" w:right="1418" w:bottom="1440" w:left="1418" w:header="851" w:footer="992" w:gutter="0"/>
          <w:cols w:space="425" w:num="1"/>
          <w:docGrid w:type="lines" w:linePitch="312" w:charSpace="0"/>
        </w:sectPr>
      </w:pPr>
    </w:p>
    <w:p>
      <w:pPr>
        <w:spacing w:line="240" w:lineRule="auto"/>
        <w:jc w:val="left"/>
        <w:rPr>
          <w:b/>
          <w:sz w:val="28"/>
          <w:szCs w:val="28"/>
          <w:lang w:val="en-US"/>
        </w:rPr>
      </w:pPr>
      <w:r>
        <w:rPr>
          <w:lang w:val="en-US"/>
        </w:rPr>
        <w:t xml:space="preserve"> </w:t>
      </w:r>
      <w:r>
        <w:rPr>
          <w:rFonts w:hint="eastAsia"/>
          <w:b/>
          <w:sz w:val="28"/>
          <w:szCs w:val="28"/>
          <w:lang w:val="en-US"/>
        </w:rPr>
        <w:t>附：项目总平面图</w:t>
      </w:r>
    </w:p>
    <w:p>
      <w:pPr>
        <w:pStyle w:val="3"/>
        <w:jc w:val="center"/>
        <w:rPr>
          <w:sz w:val="28"/>
          <w:szCs w:val="28"/>
          <w:lang w:val="en-US"/>
        </w:rPr>
      </w:pPr>
      <w:bookmarkStart w:id="96" w:name="总平面图"/>
      <w:bookmarkEnd w:id="96"/>
    </w:p>
    <w:p>
      <w:pPr>
        <w:pStyle w:val="3"/>
        <w:rPr>
          <w:rFonts w:hint="eastAsia"/>
          <w:lang w:val="en-US"/>
        </w:rPr>
      </w:pPr>
      <w:r>
        <w:drawing>
          <wp:inline distT="0" distB="0" distL="0" distR="0">
            <wp:extent cx="5667375" cy="5029200"/>
            <wp:effectExtent l="0" t="0" r="9525"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4"/>
                    <a:stretch>
                      <a:fillRect/>
                    </a:stretch>
                  </pic:blipFill>
                  <pic:spPr>
                    <a:xfrm>
                      <a:off x="0" y="0"/>
                      <a:ext cx="5667375" cy="5029200"/>
                    </a:xfrm>
                    <a:prstGeom prst="rect">
                      <a:avLst/>
                    </a:prstGeom>
                  </pic:spPr>
                </pic:pic>
              </a:graphicData>
            </a:graphic>
          </wp:inline>
        </w:drawing>
      </w: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hint="eastAsia"/>
      </w:rPr>
    </w:pPr>
    <w:r>
      <w:fldChar w:fldCharType="begin"/>
    </w:r>
    <w:r>
      <w:instrText xml:space="preserve"> HYPERLINK "http://www.gbsware.cn/" </w:instrText>
    </w:r>
    <w:r>
      <w:fldChar w:fldCharType="separate"/>
    </w:r>
    <w:r>
      <w:rPr>
        <w:rStyle w:val="27"/>
        <w:u w:val="none"/>
      </w:rPr>
      <w:t>http://www.gbsware.cn/</w:t>
    </w:r>
    <w:r>
      <w:rPr>
        <w:rStyle w:val="27"/>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pPr>
      <w:pStyle w:val="17"/>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right" w:pos="8931"/>
        <w:tab w:val="clear" w:pos="8306"/>
      </w:tabs>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hint="eastAsia" w:eastAsia="微软雅黑"/>
        <w:u w:val="single"/>
        <w:lang w:val="en-US" w:eastAsia="zh-CN"/>
      </w:rPr>
    </w:pPr>
    <w:r>
      <w:rPr>
        <w:u w:val="single"/>
        <w:lang w:val="en-US"/>
      </w:rPr>
      <w:drawing>
        <wp:inline distT="0" distB="0" distL="0" distR="0">
          <wp:extent cx="974090" cy="260985"/>
          <wp:effectExtent l="0" t="0" r="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4090" cy="260985"/>
                  </a:xfrm>
                  <a:prstGeom prst="rect">
                    <a:avLst/>
                  </a:prstGeom>
                  <a:noFill/>
                  <a:ln>
                    <a:noFill/>
                  </a:ln>
                </pic:spPr>
              </pic:pic>
            </a:graphicData>
          </a:graphic>
        </wp:inline>
      </w:drawing>
    </w:r>
    <w:r>
      <w:rPr>
        <w:rFonts w:hint="eastAsia"/>
        <w:u w:val="single"/>
      </w:rPr>
      <w:t xml:space="preserve">                                              </w:t>
    </w:r>
    <w:r>
      <w:rPr>
        <w:u w:val="single"/>
      </w:rPr>
      <w:t xml:space="preserve">   </w:t>
    </w:r>
    <w:r>
      <w:rPr>
        <w:rFonts w:hint="eastAsia"/>
        <w:u w:val="single"/>
      </w:rPr>
      <w:t>公共建筑动态采光</w:t>
    </w:r>
    <w:r>
      <w:rPr>
        <w:rFonts w:hint="eastAsia"/>
        <w:u w:val="single"/>
        <w:lang w:val="en-US" w:eastAsia="zh-CN"/>
      </w:rPr>
      <w:t>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7A961FBC"/>
    <w:multiLevelType w:val="multilevel"/>
    <w:tmpl w:val="7A961FBC"/>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0A4C09EF"/>
    <w:rsid w:val="000119AF"/>
    <w:rsid w:val="00013E1C"/>
    <w:rsid w:val="00017F4B"/>
    <w:rsid w:val="00022F54"/>
    <w:rsid w:val="00022FE4"/>
    <w:rsid w:val="0003015C"/>
    <w:rsid w:val="0003339E"/>
    <w:rsid w:val="00035337"/>
    <w:rsid w:val="00036D85"/>
    <w:rsid w:val="00037A4C"/>
    <w:rsid w:val="00040D6F"/>
    <w:rsid w:val="000413C4"/>
    <w:rsid w:val="00041C2B"/>
    <w:rsid w:val="000431C3"/>
    <w:rsid w:val="00045796"/>
    <w:rsid w:val="00047BEF"/>
    <w:rsid w:val="00047D27"/>
    <w:rsid w:val="00056946"/>
    <w:rsid w:val="00060BD8"/>
    <w:rsid w:val="000631B3"/>
    <w:rsid w:val="0006507C"/>
    <w:rsid w:val="0006695B"/>
    <w:rsid w:val="00070454"/>
    <w:rsid w:val="00070DE7"/>
    <w:rsid w:val="000715E3"/>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2EEC"/>
    <w:rsid w:val="000A3486"/>
    <w:rsid w:val="000A34D9"/>
    <w:rsid w:val="000A6EC1"/>
    <w:rsid w:val="000A6F76"/>
    <w:rsid w:val="000A7482"/>
    <w:rsid w:val="000B2B33"/>
    <w:rsid w:val="000B51D1"/>
    <w:rsid w:val="000B748F"/>
    <w:rsid w:val="000B7505"/>
    <w:rsid w:val="000B762E"/>
    <w:rsid w:val="000B78FC"/>
    <w:rsid w:val="000C09A6"/>
    <w:rsid w:val="000C0C54"/>
    <w:rsid w:val="000C2578"/>
    <w:rsid w:val="000C4925"/>
    <w:rsid w:val="000C731C"/>
    <w:rsid w:val="000C735A"/>
    <w:rsid w:val="000D0ED5"/>
    <w:rsid w:val="000D17C2"/>
    <w:rsid w:val="000D1936"/>
    <w:rsid w:val="000D407B"/>
    <w:rsid w:val="000D48AD"/>
    <w:rsid w:val="000D722D"/>
    <w:rsid w:val="000E3005"/>
    <w:rsid w:val="000E333F"/>
    <w:rsid w:val="000F0184"/>
    <w:rsid w:val="000F1573"/>
    <w:rsid w:val="000F1C42"/>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664"/>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83A6D"/>
    <w:rsid w:val="00185989"/>
    <w:rsid w:val="00191705"/>
    <w:rsid w:val="001944E6"/>
    <w:rsid w:val="00195963"/>
    <w:rsid w:val="001A192D"/>
    <w:rsid w:val="001A213A"/>
    <w:rsid w:val="001A2318"/>
    <w:rsid w:val="001A3588"/>
    <w:rsid w:val="001A3A15"/>
    <w:rsid w:val="001A40F8"/>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14620"/>
    <w:rsid w:val="0022062D"/>
    <w:rsid w:val="002229C1"/>
    <w:rsid w:val="002236B3"/>
    <w:rsid w:val="00224948"/>
    <w:rsid w:val="002273F3"/>
    <w:rsid w:val="002312B9"/>
    <w:rsid w:val="00232B5E"/>
    <w:rsid w:val="0023532D"/>
    <w:rsid w:val="00241D4E"/>
    <w:rsid w:val="00242E31"/>
    <w:rsid w:val="00244792"/>
    <w:rsid w:val="0025362B"/>
    <w:rsid w:val="00254812"/>
    <w:rsid w:val="0025543B"/>
    <w:rsid w:val="002555B8"/>
    <w:rsid w:val="002608C3"/>
    <w:rsid w:val="00262BFD"/>
    <w:rsid w:val="00265ED4"/>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340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2F4D4B"/>
    <w:rsid w:val="0030437C"/>
    <w:rsid w:val="003066FB"/>
    <w:rsid w:val="003113F4"/>
    <w:rsid w:val="003121F7"/>
    <w:rsid w:val="003123FB"/>
    <w:rsid w:val="00312B73"/>
    <w:rsid w:val="00314D29"/>
    <w:rsid w:val="00317C52"/>
    <w:rsid w:val="0032366D"/>
    <w:rsid w:val="00326E0C"/>
    <w:rsid w:val="00327F14"/>
    <w:rsid w:val="00330BA7"/>
    <w:rsid w:val="0033176E"/>
    <w:rsid w:val="00331933"/>
    <w:rsid w:val="00332086"/>
    <w:rsid w:val="00333175"/>
    <w:rsid w:val="00336725"/>
    <w:rsid w:val="0033683A"/>
    <w:rsid w:val="00340EEC"/>
    <w:rsid w:val="003446AA"/>
    <w:rsid w:val="0035024D"/>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03B4"/>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3037"/>
    <w:rsid w:val="003E5087"/>
    <w:rsid w:val="003E6E24"/>
    <w:rsid w:val="003F0DD8"/>
    <w:rsid w:val="003F27D2"/>
    <w:rsid w:val="003F60B9"/>
    <w:rsid w:val="003F66A9"/>
    <w:rsid w:val="00400053"/>
    <w:rsid w:val="004026C2"/>
    <w:rsid w:val="004042B4"/>
    <w:rsid w:val="0040698B"/>
    <w:rsid w:val="00406B01"/>
    <w:rsid w:val="00411207"/>
    <w:rsid w:val="00413082"/>
    <w:rsid w:val="004140D8"/>
    <w:rsid w:val="00417669"/>
    <w:rsid w:val="00417F29"/>
    <w:rsid w:val="00420487"/>
    <w:rsid w:val="00420DBF"/>
    <w:rsid w:val="004217EB"/>
    <w:rsid w:val="00425E47"/>
    <w:rsid w:val="0042654D"/>
    <w:rsid w:val="00426C2B"/>
    <w:rsid w:val="0043026A"/>
    <w:rsid w:val="00430DCC"/>
    <w:rsid w:val="004315D3"/>
    <w:rsid w:val="00431AD1"/>
    <w:rsid w:val="00432639"/>
    <w:rsid w:val="00433D62"/>
    <w:rsid w:val="00436DFC"/>
    <w:rsid w:val="0044029A"/>
    <w:rsid w:val="00442F22"/>
    <w:rsid w:val="0044319F"/>
    <w:rsid w:val="00443779"/>
    <w:rsid w:val="00443A24"/>
    <w:rsid w:val="00444C49"/>
    <w:rsid w:val="00445CE2"/>
    <w:rsid w:val="00453590"/>
    <w:rsid w:val="00454496"/>
    <w:rsid w:val="00455D17"/>
    <w:rsid w:val="004611D1"/>
    <w:rsid w:val="0046448B"/>
    <w:rsid w:val="0046741E"/>
    <w:rsid w:val="004732C6"/>
    <w:rsid w:val="00474151"/>
    <w:rsid w:val="0047512A"/>
    <w:rsid w:val="00476C44"/>
    <w:rsid w:val="004839C8"/>
    <w:rsid w:val="00483AB5"/>
    <w:rsid w:val="00486B69"/>
    <w:rsid w:val="00486F6E"/>
    <w:rsid w:val="0048726C"/>
    <w:rsid w:val="00497938"/>
    <w:rsid w:val="004A008B"/>
    <w:rsid w:val="004A39D3"/>
    <w:rsid w:val="004A5301"/>
    <w:rsid w:val="004C10B9"/>
    <w:rsid w:val="004C2A92"/>
    <w:rsid w:val="004C50A0"/>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325"/>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4BE3"/>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A7E97"/>
    <w:rsid w:val="005B0295"/>
    <w:rsid w:val="005B2863"/>
    <w:rsid w:val="005B290E"/>
    <w:rsid w:val="005B370C"/>
    <w:rsid w:val="005C1293"/>
    <w:rsid w:val="005C5E53"/>
    <w:rsid w:val="005D14F5"/>
    <w:rsid w:val="005D6617"/>
    <w:rsid w:val="005E4A1B"/>
    <w:rsid w:val="005E5442"/>
    <w:rsid w:val="005E5D67"/>
    <w:rsid w:val="005E5DA4"/>
    <w:rsid w:val="005E6722"/>
    <w:rsid w:val="005E6D19"/>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46D92"/>
    <w:rsid w:val="006512E1"/>
    <w:rsid w:val="00652934"/>
    <w:rsid w:val="00653017"/>
    <w:rsid w:val="006544F4"/>
    <w:rsid w:val="00662B5E"/>
    <w:rsid w:val="00665E03"/>
    <w:rsid w:val="006677F4"/>
    <w:rsid w:val="00670B60"/>
    <w:rsid w:val="00671355"/>
    <w:rsid w:val="00671FB4"/>
    <w:rsid w:val="00676BC4"/>
    <w:rsid w:val="00681C5E"/>
    <w:rsid w:val="0068497A"/>
    <w:rsid w:val="00690C94"/>
    <w:rsid w:val="00691729"/>
    <w:rsid w:val="0069401D"/>
    <w:rsid w:val="00694FCA"/>
    <w:rsid w:val="0069600F"/>
    <w:rsid w:val="00696156"/>
    <w:rsid w:val="006A2656"/>
    <w:rsid w:val="006A412A"/>
    <w:rsid w:val="006B2660"/>
    <w:rsid w:val="006B275A"/>
    <w:rsid w:val="006B2DE0"/>
    <w:rsid w:val="006B628D"/>
    <w:rsid w:val="006C2054"/>
    <w:rsid w:val="006C31C0"/>
    <w:rsid w:val="006C4730"/>
    <w:rsid w:val="006C64AB"/>
    <w:rsid w:val="006C6D88"/>
    <w:rsid w:val="006D01A7"/>
    <w:rsid w:val="006D0532"/>
    <w:rsid w:val="006D5B5F"/>
    <w:rsid w:val="006D7C59"/>
    <w:rsid w:val="006E00D2"/>
    <w:rsid w:val="006E2DB9"/>
    <w:rsid w:val="006E4654"/>
    <w:rsid w:val="006F1013"/>
    <w:rsid w:val="006F1E82"/>
    <w:rsid w:val="006F2A84"/>
    <w:rsid w:val="006F480A"/>
    <w:rsid w:val="006F6958"/>
    <w:rsid w:val="006F6975"/>
    <w:rsid w:val="0070016E"/>
    <w:rsid w:val="00700961"/>
    <w:rsid w:val="00704059"/>
    <w:rsid w:val="00716F2C"/>
    <w:rsid w:val="00720044"/>
    <w:rsid w:val="007204FA"/>
    <w:rsid w:val="00720CD9"/>
    <w:rsid w:val="00722CF6"/>
    <w:rsid w:val="007250A6"/>
    <w:rsid w:val="00731CB0"/>
    <w:rsid w:val="0074389B"/>
    <w:rsid w:val="00747135"/>
    <w:rsid w:val="0075470D"/>
    <w:rsid w:val="00760461"/>
    <w:rsid w:val="0076205C"/>
    <w:rsid w:val="00766FA5"/>
    <w:rsid w:val="00767BC9"/>
    <w:rsid w:val="00772855"/>
    <w:rsid w:val="00772EF3"/>
    <w:rsid w:val="00774B6E"/>
    <w:rsid w:val="0078096C"/>
    <w:rsid w:val="0078389D"/>
    <w:rsid w:val="00784537"/>
    <w:rsid w:val="00784B44"/>
    <w:rsid w:val="007859D0"/>
    <w:rsid w:val="00790D10"/>
    <w:rsid w:val="00795246"/>
    <w:rsid w:val="007A17F6"/>
    <w:rsid w:val="007A2481"/>
    <w:rsid w:val="007A2817"/>
    <w:rsid w:val="007A7DF0"/>
    <w:rsid w:val="007B174D"/>
    <w:rsid w:val="007B7859"/>
    <w:rsid w:val="007C0575"/>
    <w:rsid w:val="007C0D61"/>
    <w:rsid w:val="007C1721"/>
    <w:rsid w:val="007C2823"/>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17924"/>
    <w:rsid w:val="00833C62"/>
    <w:rsid w:val="0083639A"/>
    <w:rsid w:val="00837670"/>
    <w:rsid w:val="00840D90"/>
    <w:rsid w:val="008415B3"/>
    <w:rsid w:val="00841DA6"/>
    <w:rsid w:val="008439F8"/>
    <w:rsid w:val="00850136"/>
    <w:rsid w:val="008507DF"/>
    <w:rsid w:val="00852997"/>
    <w:rsid w:val="00856268"/>
    <w:rsid w:val="00856B10"/>
    <w:rsid w:val="00860C70"/>
    <w:rsid w:val="00861CD3"/>
    <w:rsid w:val="00862D3D"/>
    <w:rsid w:val="008704AB"/>
    <w:rsid w:val="00871FC0"/>
    <w:rsid w:val="0087441B"/>
    <w:rsid w:val="00874A7B"/>
    <w:rsid w:val="00883D6C"/>
    <w:rsid w:val="00886324"/>
    <w:rsid w:val="008878E5"/>
    <w:rsid w:val="00892594"/>
    <w:rsid w:val="008A1241"/>
    <w:rsid w:val="008A54A0"/>
    <w:rsid w:val="008A6504"/>
    <w:rsid w:val="008B0CA0"/>
    <w:rsid w:val="008B15FA"/>
    <w:rsid w:val="008B1827"/>
    <w:rsid w:val="008B5171"/>
    <w:rsid w:val="008B622C"/>
    <w:rsid w:val="008B7ADB"/>
    <w:rsid w:val="008C084F"/>
    <w:rsid w:val="008C1297"/>
    <w:rsid w:val="008C66D5"/>
    <w:rsid w:val="008D0B88"/>
    <w:rsid w:val="008D31F9"/>
    <w:rsid w:val="008D35DA"/>
    <w:rsid w:val="008D4BEC"/>
    <w:rsid w:val="008D66A0"/>
    <w:rsid w:val="008D7168"/>
    <w:rsid w:val="008D7615"/>
    <w:rsid w:val="008E2AB2"/>
    <w:rsid w:val="008E4758"/>
    <w:rsid w:val="008F0010"/>
    <w:rsid w:val="008F159B"/>
    <w:rsid w:val="008F5BF5"/>
    <w:rsid w:val="0090340B"/>
    <w:rsid w:val="0090454F"/>
    <w:rsid w:val="00905F94"/>
    <w:rsid w:val="00905FA6"/>
    <w:rsid w:val="00907398"/>
    <w:rsid w:val="009154AE"/>
    <w:rsid w:val="009168C0"/>
    <w:rsid w:val="00916F84"/>
    <w:rsid w:val="0092101F"/>
    <w:rsid w:val="0092186A"/>
    <w:rsid w:val="00925FCF"/>
    <w:rsid w:val="009363FF"/>
    <w:rsid w:val="00943074"/>
    <w:rsid w:val="0095123C"/>
    <w:rsid w:val="00952779"/>
    <w:rsid w:val="0095325A"/>
    <w:rsid w:val="0095484B"/>
    <w:rsid w:val="00960021"/>
    <w:rsid w:val="0096011A"/>
    <w:rsid w:val="0096074B"/>
    <w:rsid w:val="00962F80"/>
    <w:rsid w:val="00965A34"/>
    <w:rsid w:val="00967065"/>
    <w:rsid w:val="00973452"/>
    <w:rsid w:val="00975F79"/>
    <w:rsid w:val="0098285F"/>
    <w:rsid w:val="0098418E"/>
    <w:rsid w:val="00990F63"/>
    <w:rsid w:val="00991801"/>
    <w:rsid w:val="00993CF2"/>
    <w:rsid w:val="009A15B5"/>
    <w:rsid w:val="009A6B0F"/>
    <w:rsid w:val="009B0122"/>
    <w:rsid w:val="009B0C40"/>
    <w:rsid w:val="009B1441"/>
    <w:rsid w:val="009C36A4"/>
    <w:rsid w:val="009C36BC"/>
    <w:rsid w:val="009C4AE6"/>
    <w:rsid w:val="009D088F"/>
    <w:rsid w:val="009D2F5D"/>
    <w:rsid w:val="009D4733"/>
    <w:rsid w:val="009D5AAC"/>
    <w:rsid w:val="009E4EE6"/>
    <w:rsid w:val="009E6B81"/>
    <w:rsid w:val="009F5016"/>
    <w:rsid w:val="009F5A35"/>
    <w:rsid w:val="009F5A95"/>
    <w:rsid w:val="009F6B00"/>
    <w:rsid w:val="009F7C95"/>
    <w:rsid w:val="00A002BD"/>
    <w:rsid w:val="00A00CC0"/>
    <w:rsid w:val="00A0525F"/>
    <w:rsid w:val="00A10F90"/>
    <w:rsid w:val="00A12783"/>
    <w:rsid w:val="00A16B85"/>
    <w:rsid w:val="00A177A6"/>
    <w:rsid w:val="00A23320"/>
    <w:rsid w:val="00A278DC"/>
    <w:rsid w:val="00A3147A"/>
    <w:rsid w:val="00A3173C"/>
    <w:rsid w:val="00A32590"/>
    <w:rsid w:val="00A33609"/>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B62A2"/>
    <w:rsid w:val="00AD0888"/>
    <w:rsid w:val="00AD206B"/>
    <w:rsid w:val="00AD4C0F"/>
    <w:rsid w:val="00AE15E7"/>
    <w:rsid w:val="00AE206F"/>
    <w:rsid w:val="00AE6AF2"/>
    <w:rsid w:val="00AF050E"/>
    <w:rsid w:val="00AF0542"/>
    <w:rsid w:val="00AF06AD"/>
    <w:rsid w:val="00AF48DE"/>
    <w:rsid w:val="00AF4AD3"/>
    <w:rsid w:val="00AF64AA"/>
    <w:rsid w:val="00B00FFB"/>
    <w:rsid w:val="00B06BEC"/>
    <w:rsid w:val="00B06C59"/>
    <w:rsid w:val="00B102DE"/>
    <w:rsid w:val="00B11FD8"/>
    <w:rsid w:val="00B3131F"/>
    <w:rsid w:val="00B3604D"/>
    <w:rsid w:val="00B364B6"/>
    <w:rsid w:val="00B378CC"/>
    <w:rsid w:val="00B41640"/>
    <w:rsid w:val="00B41CC1"/>
    <w:rsid w:val="00B45057"/>
    <w:rsid w:val="00B520B0"/>
    <w:rsid w:val="00B52741"/>
    <w:rsid w:val="00B55B22"/>
    <w:rsid w:val="00B60841"/>
    <w:rsid w:val="00B61490"/>
    <w:rsid w:val="00B623AD"/>
    <w:rsid w:val="00B62EF2"/>
    <w:rsid w:val="00B63D29"/>
    <w:rsid w:val="00B70998"/>
    <w:rsid w:val="00B7295C"/>
    <w:rsid w:val="00B774E4"/>
    <w:rsid w:val="00B860BD"/>
    <w:rsid w:val="00B86B1C"/>
    <w:rsid w:val="00B902AD"/>
    <w:rsid w:val="00B919EE"/>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41A1"/>
    <w:rsid w:val="00C07B95"/>
    <w:rsid w:val="00C1261E"/>
    <w:rsid w:val="00C127CA"/>
    <w:rsid w:val="00C12F41"/>
    <w:rsid w:val="00C14039"/>
    <w:rsid w:val="00C15244"/>
    <w:rsid w:val="00C175FE"/>
    <w:rsid w:val="00C257AB"/>
    <w:rsid w:val="00C3168B"/>
    <w:rsid w:val="00C31D17"/>
    <w:rsid w:val="00C33D67"/>
    <w:rsid w:val="00C3614F"/>
    <w:rsid w:val="00C37F41"/>
    <w:rsid w:val="00C414EB"/>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774FA"/>
    <w:rsid w:val="00C8032E"/>
    <w:rsid w:val="00C832CC"/>
    <w:rsid w:val="00C8345B"/>
    <w:rsid w:val="00C851CF"/>
    <w:rsid w:val="00C85350"/>
    <w:rsid w:val="00C855E5"/>
    <w:rsid w:val="00C85DE5"/>
    <w:rsid w:val="00C87FFE"/>
    <w:rsid w:val="00C95C03"/>
    <w:rsid w:val="00C9765F"/>
    <w:rsid w:val="00C97E25"/>
    <w:rsid w:val="00CA1AED"/>
    <w:rsid w:val="00CA48D1"/>
    <w:rsid w:val="00CA6D19"/>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48A3"/>
    <w:rsid w:val="00CE7112"/>
    <w:rsid w:val="00CF1874"/>
    <w:rsid w:val="00CF1D5B"/>
    <w:rsid w:val="00CF6917"/>
    <w:rsid w:val="00D00FB3"/>
    <w:rsid w:val="00D022B8"/>
    <w:rsid w:val="00D02D59"/>
    <w:rsid w:val="00D02FD6"/>
    <w:rsid w:val="00D048E8"/>
    <w:rsid w:val="00D05B0B"/>
    <w:rsid w:val="00D062D7"/>
    <w:rsid w:val="00D06954"/>
    <w:rsid w:val="00D11DAD"/>
    <w:rsid w:val="00D163B5"/>
    <w:rsid w:val="00D16BCB"/>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1C82"/>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2EE2"/>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09B9"/>
    <w:rsid w:val="00E322DA"/>
    <w:rsid w:val="00E341D6"/>
    <w:rsid w:val="00E34789"/>
    <w:rsid w:val="00E3796F"/>
    <w:rsid w:val="00E414F1"/>
    <w:rsid w:val="00E44152"/>
    <w:rsid w:val="00E50E26"/>
    <w:rsid w:val="00E50FE4"/>
    <w:rsid w:val="00E55FF6"/>
    <w:rsid w:val="00E612BA"/>
    <w:rsid w:val="00E6258E"/>
    <w:rsid w:val="00E67432"/>
    <w:rsid w:val="00E75360"/>
    <w:rsid w:val="00E7685A"/>
    <w:rsid w:val="00E81ACD"/>
    <w:rsid w:val="00E86397"/>
    <w:rsid w:val="00E876F6"/>
    <w:rsid w:val="00E93153"/>
    <w:rsid w:val="00E93E9E"/>
    <w:rsid w:val="00E950A3"/>
    <w:rsid w:val="00EA1413"/>
    <w:rsid w:val="00EA30AE"/>
    <w:rsid w:val="00EA3E1A"/>
    <w:rsid w:val="00EA49A6"/>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4F9B"/>
    <w:rsid w:val="00EF5D54"/>
    <w:rsid w:val="00EF5D6E"/>
    <w:rsid w:val="00F02576"/>
    <w:rsid w:val="00F05CE9"/>
    <w:rsid w:val="00F0686F"/>
    <w:rsid w:val="00F07445"/>
    <w:rsid w:val="00F10B92"/>
    <w:rsid w:val="00F11B75"/>
    <w:rsid w:val="00F13763"/>
    <w:rsid w:val="00F140F8"/>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45685"/>
    <w:rsid w:val="00F51600"/>
    <w:rsid w:val="00F5218A"/>
    <w:rsid w:val="00F54AF7"/>
    <w:rsid w:val="00F6461B"/>
    <w:rsid w:val="00F6582C"/>
    <w:rsid w:val="00F66BF6"/>
    <w:rsid w:val="00F66DC8"/>
    <w:rsid w:val="00F712ED"/>
    <w:rsid w:val="00F71A07"/>
    <w:rsid w:val="00F738CB"/>
    <w:rsid w:val="00F75333"/>
    <w:rsid w:val="00F75DD1"/>
    <w:rsid w:val="00F76A44"/>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0C91"/>
    <w:rsid w:val="00FB1112"/>
    <w:rsid w:val="00FB1375"/>
    <w:rsid w:val="00FB3271"/>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 w:val="0A4C09EF"/>
    <w:rsid w:val="0B9533AA"/>
    <w:rsid w:val="1F1705AD"/>
    <w:rsid w:val="278C515A"/>
    <w:rsid w:val="299B58DB"/>
    <w:rsid w:val="488A1EA8"/>
    <w:rsid w:val="5994607A"/>
    <w:rsid w:val="5BBD71FE"/>
    <w:rsid w:val="5C4B3E69"/>
    <w:rsid w:val="606F1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Times New Roman"/>
      <w:sz w:val="21"/>
      <w:szCs w:val="18"/>
      <w:lang w:val="en-GB" w:eastAsia="zh-CN" w:bidi="ar-SA"/>
    </w:rPr>
  </w:style>
  <w:style w:type="paragraph" w:styleId="2">
    <w:name w:val="heading 1"/>
    <w:next w:val="3"/>
    <w:link w:val="40"/>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link w:val="36"/>
    <w:qFormat/>
    <w:uiPriority w:val="0"/>
  </w:style>
  <w:style w:type="paragraph" w:styleId="14">
    <w:name w:val="Body Text Indent"/>
    <w:basedOn w:val="1"/>
    <w:link w:val="29"/>
    <w:qFormat/>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8"/>
    <w:qFormat/>
    <w:uiPriority w:val="0"/>
  </w:style>
  <w:style w:type="paragraph" w:styleId="17">
    <w:name w:val="footer"/>
    <w:basedOn w:val="1"/>
    <w:link w:val="33"/>
    <w:qFormat/>
    <w:uiPriority w:val="0"/>
    <w:pPr>
      <w:tabs>
        <w:tab w:val="center" w:pos="4153"/>
        <w:tab w:val="right" w:pos="8306"/>
      </w:tabs>
    </w:pPr>
  </w:style>
  <w:style w:type="paragraph" w:styleId="18">
    <w:name w:val="header"/>
    <w:basedOn w:val="1"/>
    <w:qFormat/>
    <w:uiPriority w:val="0"/>
    <w:pPr>
      <w:tabs>
        <w:tab w:val="center" w:pos="4153"/>
        <w:tab w:val="right" w:pos="8306"/>
      </w:tabs>
    </w:pPr>
  </w:style>
  <w:style w:type="paragraph" w:styleId="19">
    <w:name w:val="toc 1"/>
    <w:basedOn w:val="1"/>
    <w:next w:val="1"/>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qFormat/>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link w:val="37"/>
    <w:qFormat/>
    <w:uiPriority w:val="0"/>
    <w:rPr>
      <w:b/>
      <w:bCs/>
    </w:rPr>
  </w:style>
  <w:style w:type="table" w:styleId="23">
    <w:name w:val="Table Grid"/>
    <w:basedOn w:val="22"/>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FollowedHyperlink"/>
    <w:qFormat/>
    <w:uiPriority w:val="0"/>
    <w:rPr>
      <w:color w:val="800080"/>
      <w:u w:val="single"/>
    </w:rPr>
  </w:style>
  <w:style w:type="character" w:styleId="27">
    <w:name w:val="Hyperlink"/>
    <w:qFormat/>
    <w:uiPriority w:val="99"/>
    <w:rPr>
      <w:color w:val="0000FF"/>
      <w:u w:val="single"/>
    </w:rPr>
  </w:style>
  <w:style w:type="character" w:styleId="28">
    <w:name w:val="annotation reference"/>
    <w:qFormat/>
    <w:uiPriority w:val="0"/>
    <w:rPr>
      <w:sz w:val="21"/>
      <w:szCs w:val="21"/>
    </w:rPr>
  </w:style>
  <w:style w:type="character" w:customStyle="1" w:styleId="29">
    <w:name w:val="正文文本缩进 字符"/>
    <w:link w:val="14"/>
    <w:qFormat/>
    <w:uiPriority w:val="0"/>
    <w:rPr>
      <w:rFonts w:ascii="宋体" w:hAnsi="宋体" w:eastAsia="宋体"/>
      <w:kern w:val="2"/>
      <w:sz w:val="24"/>
      <w:szCs w:val="24"/>
      <w:lang w:val="en-US" w:eastAsia="zh-CN" w:bidi="ar-SA"/>
    </w:rPr>
  </w:style>
  <w:style w:type="paragraph" w:customStyle="1" w:styleId="30">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1">
    <w:name w:val="Char Char2"/>
    <w:qFormat/>
    <w:locked/>
    <w:uiPriority w:val="0"/>
    <w:rPr>
      <w:rFonts w:ascii="宋体" w:hAnsi="宋体" w:eastAsia="宋体"/>
      <w:kern w:val="2"/>
      <w:sz w:val="24"/>
      <w:szCs w:val="24"/>
      <w:lang w:val="en-US" w:eastAsia="zh-CN" w:bidi="ar-SA"/>
    </w:rPr>
  </w:style>
  <w:style w:type="character" w:customStyle="1" w:styleId="32">
    <w:name w:val="Char Char21"/>
    <w:qFormat/>
    <w:uiPriority w:val="0"/>
    <w:rPr>
      <w:rFonts w:ascii="宋体" w:hAnsi="宋体" w:eastAsia="宋体" w:cs="Times New Roman"/>
      <w:sz w:val="24"/>
      <w:szCs w:val="24"/>
    </w:rPr>
  </w:style>
  <w:style w:type="character" w:customStyle="1" w:styleId="33">
    <w:name w:val="页脚 字符"/>
    <w:link w:val="17"/>
    <w:qFormat/>
    <w:uiPriority w:val="0"/>
    <w:rPr>
      <w:rFonts w:eastAsia="宋体"/>
      <w:sz w:val="18"/>
      <w:szCs w:val="18"/>
      <w:lang w:val="en-GB" w:eastAsia="zh-CN" w:bidi="ar-SA"/>
    </w:rPr>
  </w:style>
  <w:style w:type="character" w:customStyle="1" w:styleId="34">
    <w:name w:val="Char Char1"/>
    <w:qFormat/>
    <w:uiPriority w:val="0"/>
    <w:rPr>
      <w:rFonts w:ascii="宋体" w:hAnsi="宋体" w:eastAsia="宋体"/>
      <w:kern w:val="2"/>
      <w:sz w:val="24"/>
      <w:szCs w:val="24"/>
      <w:lang w:val="en-US" w:eastAsia="zh-CN" w:bidi="ar-SA"/>
    </w:rPr>
  </w:style>
  <w:style w:type="character" w:customStyle="1" w:styleId="35">
    <w:name w:val="Char Char"/>
    <w:qFormat/>
    <w:locked/>
    <w:uiPriority w:val="0"/>
    <w:rPr>
      <w:rFonts w:ascii="宋体" w:hAnsi="宋体" w:eastAsia="宋体"/>
      <w:kern w:val="2"/>
      <w:sz w:val="24"/>
      <w:szCs w:val="24"/>
      <w:lang w:val="en-US" w:eastAsia="zh-CN" w:bidi="ar-SA"/>
    </w:rPr>
  </w:style>
  <w:style w:type="character" w:customStyle="1" w:styleId="36">
    <w:name w:val="批注文字 字符"/>
    <w:link w:val="13"/>
    <w:qFormat/>
    <w:uiPriority w:val="0"/>
    <w:rPr>
      <w:sz w:val="18"/>
      <w:lang w:val="en-GB"/>
    </w:rPr>
  </w:style>
  <w:style w:type="character" w:customStyle="1" w:styleId="37">
    <w:name w:val="批注主题 字符"/>
    <w:link w:val="21"/>
    <w:qFormat/>
    <w:uiPriority w:val="0"/>
    <w:rPr>
      <w:b/>
      <w:bCs/>
      <w:sz w:val="18"/>
      <w:lang w:val="en-GB"/>
    </w:rPr>
  </w:style>
  <w:style w:type="character" w:customStyle="1" w:styleId="38">
    <w:name w:val="批注框文本 字符"/>
    <w:link w:val="16"/>
    <w:qFormat/>
    <w:uiPriority w:val="0"/>
    <w:rPr>
      <w:sz w:val="18"/>
      <w:szCs w:val="18"/>
      <w:lang w:val="en-GB"/>
    </w:rPr>
  </w:style>
  <w:style w:type="paragraph" w:styleId="39">
    <w:name w:val="List Paragraph"/>
    <w:basedOn w:val="1"/>
    <w:qFormat/>
    <w:uiPriority w:val="34"/>
    <w:pPr>
      <w:ind w:firstLine="420" w:firstLineChars="200"/>
    </w:pPr>
  </w:style>
  <w:style w:type="character" w:customStyle="1" w:styleId="40">
    <w:name w:val="标题 1 字符"/>
    <w:basedOn w:val="24"/>
    <w:link w:val="2"/>
    <w:qFormat/>
    <w:uiPriority w:val="0"/>
    <w:rPr>
      <w:rFonts w:eastAsia="微软雅黑"/>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8.wmf"/><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9066;&#32043;&#26592;\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DF0A6F-8A62-457D-B062-9EB61203CFBE}">
  <ds:schemaRefs/>
</ds:datastoreItem>
</file>

<file path=docProps/app.xml><?xml version="1.0" encoding="utf-8"?>
<Properties xmlns="http://schemas.openxmlformats.org/officeDocument/2006/extended-properties" xmlns:vt="http://schemas.openxmlformats.org/officeDocument/2006/docPropsVTypes">
  <Template>tmp5.dotx</Template>
  <Pages>11</Pages>
  <Words>3573</Words>
  <Characters>4254</Characters>
  <Lines>33</Lines>
  <Paragraphs>9</Paragraphs>
  <TotalTime>0</TotalTime>
  <ScaleCrop>false</ScaleCrop>
  <LinksUpToDate>false</LinksUpToDate>
  <CharactersWithSpaces>4358</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2025-12-08T15:26:00Z</dcterms:created>
  <dc:creator>树叶世界</dc:creator>
  <cp:lastModifiedBy>树叶世界</cp:lastModifiedBy>
  <dcterms:modified xsi:type="dcterms:W3CDTF">2025-12-30T11:26:03Z</dcterms:modified>
  <dc:title>公共建筑动态采光计算书</dc:title>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22D92B39D387442EBCD41EBB668BE620_12</vt:lpwstr>
  </property>
</Properties>
</file>