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8"/>
      </w:pPr>
    </w:p>
    <w:p>
      <w:pPr>
        <w:pStyle w:val="48"/>
      </w:pPr>
    </w:p>
    <w:p>
      <w:pPr>
        <w:pStyle w:val="48"/>
        <w:jc w:val="distribute"/>
        <w:rPr>
          <w:b/>
          <w:sz w:val="72"/>
          <w:szCs w:val="72"/>
        </w:rPr>
      </w:pPr>
      <w:r>
        <w:rPr>
          <w:rFonts w:hint="eastAsia"/>
          <w:b/>
          <w:sz w:val="72"/>
          <w:szCs w:val="72"/>
        </w:rPr>
        <w:t>室内气流组织分析报告</w:t>
      </w:r>
    </w:p>
    <w:p>
      <w:pPr>
        <w:pStyle w:val="52"/>
        <w:spacing w:line="400" w:lineRule="exact"/>
      </w:pPr>
    </w:p>
    <w:p>
      <w:pPr>
        <w:pStyle w:val="52"/>
        <w:rPr>
          <w:b/>
        </w:rPr>
      </w:pPr>
      <w:bookmarkStart w:id="0" w:name="项目名称"/>
      <w:bookmarkEnd w:id="0"/>
    </w:p>
    <w:p>
      <w:pPr>
        <w:pStyle w:val="52"/>
        <w:rPr>
          <w:b/>
        </w:rPr>
      </w:pPr>
      <w:r>
        <w:rPr>
          <w:rFonts w:hint="eastAsia"/>
          <w:b/>
        </w:rPr>
        <w:t>设计编号：</w:t>
      </w:r>
      <w:bookmarkStart w:id="1" w:name="设计编号"/>
      <w:bookmarkEnd w:id="1"/>
      <w:r>
        <w:rPr>
          <w:rFonts w:hint="eastAsia"/>
          <w:b/>
          <w:lang w:val="en-US" w:eastAsia="zh-CN"/>
        </w:rPr>
        <w:t>BKA80084</w:t>
      </w:r>
      <w:bookmarkStart w:id="90" w:name="_GoBack"/>
      <w:bookmarkEnd w:id="90"/>
    </w:p>
    <w:p>
      <w:pPr>
        <w:pStyle w:val="52"/>
        <w:rPr>
          <w:b/>
        </w:rPr>
      </w:pPr>
    </w:p>
    <w:p>
      <w:pPr>
        <w:pStyle w:val="48"/>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pPr>
        <w:pStyle w:val="48"/>
        <w:jc w:val="center"/>
      </w:pPr>
    </w:p>
    <w:p>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工程地点</w:t>
            </w:r>
          </w:p>
        </w:tc>
        <w:tc>
          <w:tcPr>
            <w:tcW w:w="475" w:type="dxa"/>
            <w:vAlign w:val="center"/>
          </w:tcPr>
          <w:p>
            <w:pPr>
              <w:pStyle w:val="48"/>
              <w:spacing w:line="600" w:lineRule="exact"/>
              <w:ind w:right="-31" w:rightChars="-15"/>
              <w:jc w:val="center"/>
            </w:pPr>
            <w:r>
              <w:rPr>
                <w:rFonts w:hint="eastAsia"/>
              </w:rPr>
              <w:t>：</w:t>
            </w:r>
          </w:p>
        </w:tc>
        <w:tc>
          <w:tcPr>
            <w:tcW w:w="4624" w:type="dxa"/>
            <w:tcBorders>
              <w:bottom w:val="single" w:color="auto" w:sz="4" w:space="0"/>
            </w:tcBorders>
            <w:vAlign w:val="center"/>
          </w:tcPr>
          <w:p>
            <w:pPr>
              <w:pStyle w:val="48"/>
              <w:spacing w:line="600" w:lineRule="exact"/>
              <w:jc w:val="center"/>
            </w:pPr>
            <w:bookmarkStart w:id="3" w:name="工程地点"/>
            <w:bookmarkEnd w:id="3"/>
            <w:bookmarkStart w:id="4" w:name="项目地点"/>
            <w:r>
              <w:t>福州</w:t>
            </w:r>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建设单位</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bookmarkStart w:id="5" w:name="建设单位"/>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设计单位</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bookmarkStart w:id="6" w:name="设计单位"/>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设计人</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校对人</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审定人</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报告日期</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bookmarkStart w:id="7" w:name="报告日期"/>
            <w:r>
              <w:t>2025年12月10日</w:t>
            </w:r>
            <w:bookmarkEnd w:id="7"/>
          </w:p>
        </w:tc>
      </w:tr>
    </w:tbl>
    <w:p/>
    <w:p>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0"/>
              <w:rPr>
                <w:szCs w:val="18"/>
              </w:rPr>
            </w:pPr>
            <w:r>
              <w:rPr>
                <w:rFonts w:hint="eastAsia"/>
                <w:szCs w:val="18"/>
              </w:rPr>
              <w:t xml:space="preserve">: </w:t>
            </w:r>
            <w:bookmarkStart w:id="10" w:name="加密锁号"/>
            <w:r>
              <w:rPr>
                <w:rFonts w:hint="eastAsia"/>
                <w:szCs w:val="18"/>
              </w:rPr>
              <w:t>T16609942605</w:t>
            </w:r>
            <w:bookmarkEnd w:id="10"/>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0"/>
        <w:tabs>
          <w:tab w:val="right" w:leader="dot" w:pos="8306"/>
          <w:tab w:val="clear" w:pos="180"/>
          <w:tab w:val="clear" w:pos="420"/>
          <w:tab w:val="clear" w:pos="8222"/>
          <w:tab w:val="clear" w:pos="8296"/>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_Toc23696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_Toc23696 </w:instrText>
      </w:r>
      <w:r>
        <w:fldChar w:fldCharType="separate"/>
      </w:r>
      <w:r>
        <w:t>3</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_Toc18046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_Toc18046 </w:instrText>
      </w:r>
      <w:r>
        <w:fldChar w:fldCharType="separate"/>
      </w:r>
      <w:r>
        <w:t>3</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_Toc8943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_Toc8943 </w:instrText>
      </w:r>
      <w:r>
        <w:fldChar w:fldCharType="separate"/>
      </w:r>
      <w:r>
        <w:t>4</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_Toc14681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_Toc14681 </w:instrText>
      </w:r>
      <w:r>
        <w:fldChar w:fldCharType="separate"/>
      </w:r>
      <w:r>
        <w:t>4</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_Toc17304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_Toc17304 </w:instrText>
      </w:r>
      <w:r>
        <w:fldChar w:fldCharType="separate"/>
      </w:r>
      <w:r>
        <w:t>5</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_Toc2651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_Toc2651 </w:instrText>
      </w:r>
      <w:r>
        <w:fldChar w:fldCharType="separate"/>
      </w:r>
      <w:r>
        <w:t>5</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_Toc23490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_Toc23490 </w:instrText>
      </w:r>
      <w:r>
        <w:fldChar w:fldCharType="separate"/>
      </w:r>
      <w:r>
        <w:t>5</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_Toc13290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_Toc13290 </w:instrText>
      </w:r>
      <w:r>
        <w:fldChar w:fldCharType="separate"/>
      </w:r>
      <w:r>
        <w:t>5</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_Toc19975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_Toc19975 </w:instrText>
      </w:r>
      <w:r>
        <w:fldChar w:fldCharType="separate"/>
      </w:r>
      <w:r>
        <w:t>8</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_Toc16609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_Toc16609 </w:instrText>
      </w:r>
      <w:r>
        <w:fldChar w:fldCharType="separate"/>
      </w:r>
      <w:r>
        <w:t>8</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_Toc27125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_Toc27125 </w:instrText>
      </w:r>
      <w:r>
        <w:fldChar w:fldCharType="separate"/>
      </w:r>
      <w:r>
        <w:t>10</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_Toc23109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_Toc23109 </w:instrText>
      </w:r>
      <w:r>
        <w:fldChar w:fldCharType="separate"/>
      </w:r>
      <w:r>
        <w:t>12</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_Toc13663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_Toc13663 </w:instrText>
      </w:r>
      <w:r>
        <w:fldChar w:fldCharType="separate"/>
      </w:r>
      <w:r>
        <w:t>13</w:t>
      </w:r>
      <w:r>
        <w:fldChar w:fldCharType="end"/>
      </w:r>
      <w:r>
        <w:rPr>
          <w:caps/>
        </w:rPr>
        <w:fldChar w:fldCharType="end"/>
      </w:r>
    </w:p>
    <w:p>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pPr>
        <w:pStyle w:val="2"/>
      </w:pPr>
      <w:bookmarkStart w:id="12" w:name="_Toc13735908"/>
      <w:bookmarkStart w:id="13" w:name="_Toc452108759"/>
      <w:bookmarkStart w:id="14" w:name="_Toc50050011"/>
      <w:bookmarkStart w:id="15" w:name="_Toc58243666"/>
      <w:bookmarkStart w:id="16" w:name="_Toc23696"/>
      <w:bookmarkStart w:id="17" w:name="_Toc452108762"/>
      <w:bookmarkStart w:id="18" w:name="TitleFormat"/>
      <w:r>
        <w:rPr>
          <w:rFonts w:hint="eastAsia"/>
        </w:rPr>
        <w:t>项目概况</w:t>
      </w:r>
      <w:bookmarkEnd w:id="12"/>
      <w:bookmarkEnd w:id="13"/>
      <w:bookmarkEnd w:id="14"/>
      <w:bookmarkEnd w:id="15"/>
      <w:bookmarkEnd w:id="16"/>
    </w:p>
    <w:p>
      <w:pPr>
        <w:pStyle w:val="3"/>
        <w:ind w:firstLine="420"/>
        <w:rPr>
          <w:rFonts w:ascii="微软雅黑" w:hAnsi="微软雅黑" w:eastAsia="微软雅黑"/>
          <w:lang w:val="en-US"/>
        </w:rPr>
      </w:pPr>
      <w:bookmarkStart w:id="19" w:name="项目概况"/>
      <w:bookmarkEnd w:id="19"/>
    </w:p>
    <w:p>
      <w:pPr>
        <w:pStyle w:val="3"/>
        <w:ind w:firstLine="420"/>
        <w:rPr>
          <w:rFonts w:ascii="微软雅黑" w:hAnsi="微软雅黑" w:eastAsia="微软雅黑"/>
          <w:lang w:val="en-US"/>
        </w:rPr>
      </w:pPr>
    </w:p>
    <w:p>
      <w:pPr>
        <w:pStyle w:val="4"/>
        <w:rPr>
          <w:color w:val="auto"/>
        </w:rPr>
      </w:pPr>
      <w:bookmarkStart w:id="20" w:name="_Toc452108760"/>
      <w:bookmarkStart w:id="21" w:name="_Toc50050012"/>
      <w:bookmarkStart w:id="22" w:name="_Toc13735909"/>
      <w:bookmarkStart w:id="23" w:name="_Toc58243667"/>
      <w:bookmarkStart w:id="24" w:name="_Toc18046"/>
      <w:bookmarkStart w:id="25" w:name="平面图2"/>
      <w:r>
        <w:rPr>
          <w:color w:val="auto"/>
        </w:rPr>
        <w:t>平面图</w:t>
      </w:r>
      <w:bookmarkEnd w:id="20"/>
      <w:bookmarkEnd w:id="21"/>
      <w:bookmarkEnd w:id="22"/>
      <w:bookmarkEnd w:id="23"/>
      <w:bookmarkEnd w:id="24"/>
    </w:p>
    <w:p>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953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495300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pPr>
        <w:pStyle w:val="3"/>
        <w:ind w:firstLine="0" w:firstLineChars="0"/>
        <w:jc w:val="center"/>
        <w:rPr>
          <w:rFonts w:ascii="微软雅黑" w:hAnsi="微软雅黑" w:eastAsia="微软雅黑"/>
          <w:lang w:val="en-US"/>
        </w:rPr>
      </w:pPr>
      <w:r>
        <w:drawing>
          <wp:inline distT="0" distB="0" distL="0" distR="0">
            <wp:extent cx="5667375" cy="51816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518160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pPr>
        <w:pStyle w:val="3"/>
        <w:ind w:firstLine="0" w:firstLineChars="0"/>
        <w:jc w:val="center"/>
        <w:rPr>
          <w:rFonts w:ascii="微软雅黑" w:hAnsi="微软雅黑" w:eastAsia="微软雅黑"/>
          <w:lang w:val="en-US"/>
        </w:rPr>
      </w:pPr>
    </w:p>
    <w:bookmarkEnd w:id="25"/>
    <w:p>
      <w:pPr>
        <w:pStyle w:val="3"/>
        <w:ind w:firstLine="0" w:firstLineChars="0"/>
        <w:jc w:val="center"/>
        <w:rPr>
          <w:rFonts w:ascii="微软雅黑" w:hAnsi="微软雅黑" w:eastAsia="微软雅黑"/>
          <w:lang w:val="en-US"/>
        </w:rPr>
      </w:pPr>
    </w:p>
    <w:p>
      <w:pPr>
        <w:pStyle w:val="4"/>
        <w:rPr>
          <w:color w:val="auto"/>
        </w:rPr>
      </w:pPr>
      <w:bookmarkStart w:id="27" w:name="_Toc8943"/>
      <w:bookmarkStart w:id="28" w:name="_Toc452108761"/>
      <w:bookmarkStart w:id="29" w:name="_Toc13735910"/>
      <w:bookmarkStart w:id="30" w:name="_Toc50050013"/>
      <w:bookmarkStart w:id="31" w:name="_Toc58243668"/>
      <w:r>
        <w:rPr>
          <w:rFonts w:hint="eastAsia"/>
          <w:color w:val="auto"/>
        </w:rPr>
        <w:t>三</w:t>
      </w:r>
      <w:r>
        <w:rPr>
          <w:color w:val="auto"/>
        </w:rPr>
        <w:t>维视图</w:t>
      </w:r>
      <w:bookmarkEnd w:id="27"/>
      <w:bookmarkEnd w:id="28"/>
      <w:bookmarkEnd w:id="29"/>
      <w:bookmarkEnd w:id="30"/>
      <w:bookmarkEnd w:id="31"/>
    </w:p>
    <w:p>
      <w:pPr>
        <w:pStyle w:val="3"/>
        <w:ind w:firstLine="0" w:firstLineChars="0"/>
        <w:jc w:val="center"/>
        <w:rPr>
          <w:rFonts w:ascii="微软雅黑" w:hAnsi="微软雅黑" w:eastAsia="微软雅黑"/>
          <w:lang w:val="en-US"/>
        </w:rPr>
      </w:pPr>
      <w:bookmarkStart w:id="32" w:name="三维视图"/>
      <w:bookmarkEnd w:id="32"/>
      <w:bookmarkStart w:id="33" w:name="模型观察"/>
      <w:r>
        <w:t>请先在【模型观察】命令中保存图片</w:t>
      </w:r>
      <w:bookmarkEnd w:id="33"/>
    </w:p>
    <w:p>
      <w:pPr>
        <w:pStyle w:val="3"/>
        <w:ind w:firstLine="0" w:firstLineChars="0"/>
        <w:rPr>
          <w:rFonts w:ascii="微软雅黑" w:hAnsi="微软雅黑" w:eastAsia="微软雅黑"/>
          <w:lang w:val="en-US"/>
        </w:rPr>
      </w:pPr>
    </w:p>
    <w:p>
      <w:pPr>
        <w:pStyle w:val="2"/>
      </w:pPr>
      <w:bookmarkStart w:id="34" w:name="_Toc58243669"/>
      <w:bookmarkStart w:id="35" w:name="_Toc14681"/>
      <w:bookmarkStart w:id="36" w:name="_Toc50050014"/>
      <w:r>
        <w:rPr>
          <w:rFonts w:hint="eastAsia"/>
        </w:rPr>
        <w:t>计算</w:t>
      </w:r>
      <w:r>
        <w:t>依据</w:t>
      </w:r>
      <w:bookmarkEnd w:id="17"/>
      <w:bookmarkEnd w:id="18"/>
      <w:bookmarkEnd w:id="34"/>
      <w:bookmarkEnd w:id="35"/>
      <w:bookmarkEnd w:id="36"/>
    </w:p>
    <w:p>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《绿色建筑评价标准》GB/T50378-2019</w:t>
      </w:r>
      <w:bookmarkEnd w:id="38"/>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3"/>
        <w:ind w:left="200" w:firstLine="0" w:firstLineChars="0"/>
        <w:rPr>
          <w:rFonts w:ascii="微软雅黑" w:hAnsi="微软雅黑" w:eastAsia="微软雅黑"/>
          <w:lang w:val="en-US"/>
        </w:rPr>
      </w:pPr>
    </w:p>
    <w:p>
      <w:pPr>
        <w:pStyle w:val="2"/>
      </w:pPr>
      <w:bookmarkStart w:id="39" w:name="_Toc50050015"/>
      <w:bookmarkStart w:id="40" w:name="_Toc58243670"/>
      <w:bookmarkStart w:id="41" w:name="_Toc17304"/>
      <w:r>
        <w:rPr>
          <w:rFonts w:hint="eastAsia"/>
        </w:rPr>
        <w:t>参考</w:t>
      </w:r>
      <w:r>
        <w:t>标准</w:t>
      </w:r>
      <w:bookmarkEnd w:id="37"/>
      <w:bookmarkEnd w:id="39"/>
      <w:bookmarkEnd w:id="40"/>
      <w:bookmarkEnd w:id="41"/>
    </w:p>
    <w:p>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《绿色建筑评价标准》GB/T50378-2019</w:t>
      </w:r>
      <w:bookmarkEnd w:id="45"/>
      <w:r>
        <w:rPr>
          <w:rFonts w:hint="eastAsia" w:ascii="微软雅黑" w:hAnsi="微软雅黑" w:eastAsia="微软雅黑"/>
          <w:lang w:val="en-US"/>
        </w:rPr>
        <w:t>中控制项5.1.2条的要求，具体要求如下：</w:t>
      </w:r>
    </w:p>
    <w:p>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pPr>
        <w:pStyle w:val="2"/>
      </w:pPr>
      <w:bookmarkStart w:id="46" w:name="_Toc2651"/>
      <w:bookmarkStart w:id="47" w:name="_Toc50050016"/>
      <w:bookmarkStart w:id="48" w:name="_Toc58243671"/>
      <w:r>
        <w:rPr>
          <w:rFonts w:hint="eastAsia"/>
        </w:rPr>
        <w:t>技术措施</w:t>
      </w:r>
      <w:bookmarkEnd w:id="46"/>
      <w:bookmarkEnd w:id="47"/>
      <w:bookmarkEnd w:id="48"/>
    </w:p>
    <w:p>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pPr>
        <w:pStyle w:val="3"/>
        <w:ind w:firstLine="420"/>
        <w:rPr>
          <w:rFonts w:ascii="微软雅黑" w:hAnsi="微软雅黑" w:eastAsia="微软雅黑"/>
          <w:lang w:val="en-US"/>
        </w:rPr>
      </w:pPr>
      <w:bookmarkStart w:id="49" w:name="技术措施"/>
      <w:r>
        <w:t>无</w:t>
      </w:r>
      <w:bookmarkEnd w:id="49"/>
    </w:p>
    <w:p>
      <w:pPr>
        <w:pStyle w:val="2"/>
      </w:pPr>
      <w:bookmarkStart w:id="50" w:name="_Toc23490"/>
      <w:bookmarkStart w:id="51" w:name="_Toc50050017"/>
      <w:bookmarkStart w:id="52" w:name="_Toc58243672"/>
      <w:r>
        <w:rPr>
          <w:rFonts w:hint="eastAsia"/>
        </w:rPr>
        <w:t>计算</w:t>
      </w:r>
      <w:bookmarkEnd w:id="42"/>
      <w:bookmarkEnd w:id="43"/>
      <w:r>
        <w:rPr>
          <w:rFonts w:hint="eastAsia"/>
        </w:rPr>
        <w:t>方法</w:t>
      </w:r>
      <w:bookmarkEnd w:id="50"/>
      <w:bookmarkEnd w:id="51"/>
      <w:bookmarkEnd w:id="52"/>
    </w:p>
    <w:p>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pPr>
        <w:pStyle w:val="4"/>
        <w:rPr>
          <w:color w:val="auto"/>
        </w:rPr>
      </w:pPr>
      <w:bookmarkStart w:id="53" w:name="_Toc13290"/>
      <w:bookmarkStart w:id="54" w:name="_Toc50050018"/>
      <w:bookmarkStart w:id="55" w:name="_Toc58243673"/>
      <w:r>
        <w:rPr>
          <w:color w:val="auto"/>
        </w:rPr>
        <w:t>CFD</w:t>
      </w:r>
      <w:r>
        <w:rPr>
          <w:rFonts w:hint="eastAsia"/>
          <w:color w:val="auto"/>
        </w:rPr>
        <w:t>计算原理</w:t>
      </w:r>
      <w:bookmarkEnd w:id="53"/>
      <w:bookmarkEnd w:id="54"/>
      <w:bookmarkEnd w:id="55"/>
    </w:p>
    <w:p>
      <w:pPr>
        <w:pStyle w:val="5"/>
      </w:pPr>
      <w:bookmarkStart w:id="56" w:name="_Toc58243674"/>
      <w:bookmarkStart w:id="57" w:name="_Toc50050019"/>
      <w:bookmarkStart w:id="58" w:name="_Toc451698937"/>
      <w:bookmarkStart w:id="59" w:name="_Toc452108765"/>
      <w:r>
        <w:rPr>
          <w:rFonts w:hint="eastAsia"/>
        </w:rPr>
        <w:t>湍流模型</w:t>
      </w:r>
      <w:bookmarkEnd w:id="56"/>
      <w:bookmarkEnd w:id="57"/>
    </w:p>
    <w:p>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jc w:val="center"/>
              <w:rPr>
                <w:rFonts w:cs="宋体"/>
                <w:b/>
                <w:bCs/>
                <w:sz w:val="18"/>
                <w:szCs w:val="18"/>
              </w:rPr>
            </w:pPr>
            <w:r>
              <w:rPr>
                <w:rFonts w:hint="eastAsia" w:cs="宋体"/>
                <w:b/>
                <w:bCs/>
                <w:sz w:val="18"/>
                <w:szCs w:val="18"/>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pPr>
              <w:rPr>
                <w:rFonts w:cs="宋体"/>
                <w:sz w:val="18"/>
                <w:szCs w:val="18"/>
              </w:rPr>
            </w:pPr>
            <w:r>
              <w:rPr>
                <w:rFonts w:hint="eastAsia"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pPr>
              <w:rPr>
                <w:rFonts w:cs="宋体"/>
                <w:sz w:val="18"/>
                <w:szCs w:val="18"/>
              </w:rPr>
            </w:pPr>
            <w:r>
              <w:rPr>
                <w:rFonts w:hint="eastAsia" w:cs="宋体"/>
                <w:sz w:val="18"/>
                <w:szCs w:val="18"/>
              </w:rPr>
              <w:t>旋转流动、强逆压梯度的边界层流动、流动分离和二次流，类似于RNG</w:t>
            </w:r>
          </w:p>
        </w:tc>
      </w:tr>
    </w:tbl>
    <w:p>
      <w:pPr>
        <w:pStyle w:val="5"/>
        <w:tabs>
          <w:tab w:val="left" w:pos="360"/>
        </w:tabs>
        <w:ind w:left="0" w:firstLine="0"/>
      </w:pPr>
      <w:bookmarkStart w:id="60" w:name="_Toc8151"/>
      <w:bookmarkStart w:id="61" w:name="_Toc50050020"/>
      <w:bookmarkStart w:id="62" w:name="_Toc451698938"/>
      <w:bookmarkStart w:id="63" w:name="_Toc452108766"/>
      <w:bookmarkStart w:id="64" w:name="_Toc58243675"/>
      <w:r>
        <w:rPr>
          <w:rFonts w:hint="eastAsia"/>
        </w:rPr>
        <w:t>边界条件</w:t>
      </w:r>
      <w:bookmarkEnd w:id="60"/>
      <w:bookmarkEnd w:id="61"/>
      <w:bookmarkEnd w:id="62"/>
      <w:bookmarkEnd w:id="63"/>
      <w:bookmarkEnd w:id="64"/>
    </w:p>
    <w:p>
      <w:pPr>
        <w:spacing w:line="400" w:lineRule="atLeast"/>
        <w:ind w:firstLine="435"/>
      </w:pPr>
      <w:r>
        <w:rPr>
          <w:rFonts w:hint="eastAsia"/>
          <w:b/>
        </w:rPr>
        <w:t>进风窗口</w:t>
      </w:r>
      <w:r>
        <w:rPr>
          <w:rFonts w:hint="eastAsia"/>
        </w:rPr>
        <w:t>：采用压强边界条件；</w:t>
      </w:r>
    </w:p>
    <w:p>
      <w:pPr>
        <w:spacing w:line="400" w:lineRule="atLeast"/>
        <w:ind w:firstLine="435"/>
      </w:pPr>
      <w:r>
        <w:rPr>
          <w:rFonts w:hint="eastAsia"/>
          <w:b/>
        </w:rPr>
        <w:t>排风窗口</w:t>
      </w:r>
      <w:r>
        <w:rPr>
          <w:rFonts w:hint="eastAsia"/>
        </w:rPr>
        <w:t>：采用压强边界条件。</w:t>
      </w:r>
    </w:p>
    <w:p>
      <w:pPr>
        <w:pStyle w:val="5"/>
        <w:tabs>
          <w:tab w:val="left" w:pos="360"/>
        </w:tabs>
        <w:ind w:left="0" w:firstLine="0"/>
      </w:pPr>
      <w:bookmarkStart w:id="65" w:name="_Toc452108767"/>
      <w:bookmarkStart w:id="66" w:name="_Toc23583"/>
      <w:bookmarkStart w:id="67" w:name="_Toc451698939"/>
      <w:bookmarkStart w:id="68" w:name="_Toc50050021"/>
      <w:bookmarkStart w:id="69" w:name="_Toc58243676"/>
      <w:r>
        <w:rPr>
          <w:rFonts w:hint="eastAsia"/>
        </w:rPr>
        <w:t>求解计算</w:t>
      </w:r>
      <w:bookmarkEnd w:id="65"/>
      <w:bookmarkEnd w:id="66"/>
      <w:bookmarkEnd w:id="67"/>
      <w:bookmarkEnd w:id="68"/>
      <w:bookmarkEnd w:id="69"/>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w:rPr>
                  <w:rFonts w:ascii="Cambria Math" w:hAnsi="Cambria Math" w:eastAsia="微软雅黑"/>
                  <w:lang w:val="en-US"/>
                </w:rPr>
                <m:t>∂(ρϕ)</m:t>
              </m:r>
              <m:ctrlPr>
                <w:rPr>
                  <w:rFonts w:ascii="Cambria Math" w:hAnsi="Cambria Math" w:eastAsia="微软雅黑"/>
                  <w:lang w:val="en-US"/>
                </w:rPr>
              </m:ctrlPr>
            </m:num>
            <m:den>
              <m: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w:rPr>
                      <w:rFonts w:ascii="Cambria Math" w:hAnsi="Cambria Math" w:eastAsia="微软雅黑"/>
                      <w:lang w:val="en-US"/>
                    </w:rPr>
                    <m:t>ϕ</m:t>
                  </m:r>
                  <m:ctrlPr>
                    <w:rPr>
                      <w:rFonts w:ascii="Cambria Math" w:hAnsi="Cambria Math" w:eastAsia="微软雅黑"/>
                      <w:i/>
                      <w:lang w:val="en-US"/>
                    </w:rPr>
                  </m:ctrlPr>
                </m:sub>
              </m:sSub>
              <m: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w:rPr>
                  <w:rFonts w:ascii="Cambria Math" w:hAnsi="Cambria Math" w:eastAsia="微软雅黑"/>
                  <w:lang w:val="en-US"/>
                </w:rPr>
                <m:t>S</m:t>
              </m:r>
              <m:ctrlPr>
                <w:rPr>
                  <w:rFonts w:ascii="Cambria Math" w:hAnsi="Cambria Math" w:eastAsia="微软雅黑"/>
                  <w:lang w:val="en-US"/>
                </w:rPr>
              </m:ctrlPr>
            </m:e>
            <m:sub>
              <m: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∂x</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∂y</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∂z</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B</m:t>
                    </m:r>
                    <m:ctrlPr>
                      <w:rPr>
                        <w:rFonts w:ascii="Cambria Math" w:hAnsi="Cambria Math" w:cs="Calibri"/>
                        <w:kern w:val="2"/>
                        <w:sz w:val="18"/>
                        <w:szCs w:val="18"/>
                      </w:rPr>
                    </m:ctrlPr>
                  </m:sub>
                </m:sSub>
                <m:r>
                  <w:rPr>
                    <w:rFonts w:ascii="Cambria Math" w:hAnsi="Cambria Math" w:cs="Calibri"/>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ctrlPr>
                      <w:rPr>
                        <w:rFonts w:ascii="Cambria Math" w:hAnsi="Cambria Math" w:cs="Calibri"/>
                        <w:kern w:val="2"/>
                        <w:sz w:val="18"/>
                        <w:szCs w:val="18"/>
                      </w:rPr>
                    </m:ctrlPr>
                  </m:e>
                  <m:sub>
                    <m: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w:rPr>
                        <w:rFonts w:ascii="Cambria Math" w:hAnsi="Cambria Math" w:cs="Calibri"/>
                        <w:kern w:val="2"/>
                        <w:sz w:val="18"/>
                        <w:szCs w:val="18"/>
                      </w:rPr>
                      <m:t>ε</m:t>
                    </m:r>
                    <m:ctrlPr>
                      <w:rPr>
                        <w:rFonts w:ascii="Cambria Math" w:hAnsi="Cambria Math" w:cs="Calibri"/>
                        <w:kern w:val="2"/>
                        <w:sz w:val="18"/>
                        <w:szCs w:val="18"/>
                      </w:rPr>
                    </m:ctrlPr>
                  </m:num>
                  <m:den>
                    <m: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k</m:t>
                        </m:r>
                        <m:ctrlPr>
                          <w:rPr>
                            <w:rFonts w:ascii="Cambria Math" w:hAnsi="Cambria Math" w:cs="Calibri"/>
                            <w:i/>
                            <w:kern w:val="2"/>
                            <w:sz w:val="18"/>
                            <w:szCs w:val="18"/>
                          </w:rPr>
                        </m:ctrlP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2ε</m:t>
                    </m:r>
                    <m:ctrlPr>
                      <w:rPr>
                        <w:rFonts w:ascii="Cambria Math" w:hAnsi="Cambria Math" w:cs="Calibri"/>
                        <w:i/>
                        <w:kern w:val="2"/>
                        <w:sz w:val="18"/>
                        <w:szCs w:val="18"/>
                      </w:rPr>
                    </m:ctrlP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ctrlPr>
                          <w:rPr>
                            <w:rFonts w:ascii="Cambria Math" w:hAnsi="Cambria Math" w:cs="Calibri"/>
                            <w:i/>
                            <w:kern w:val="2"/>
                            <w:sz w:val="18"/>
                            <w:szCs w:val="18"/>
                          </w:rPr>
                        </m:ctrlPr>
                      </m:e>
                      <m:sup>
                        <m: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w:rPr>
                        <w:rFonts w:ascii="Cambria Math" w:hAnsi="Cambria Math" w:cs="Calibri"/>
                        <w:kern w:val="2"/>
                        <w:sz w:val="18"/>
                        <w:szCs w:val="18"/>
                      </w:rPr>
                      <m:t>k</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ctrlPr>
                      <w:rPr>
                        <w:rFonts w:ascii="Cambria Math" w:hAnsi="Cambria Math" w:cs="Calibri"/>
                        <w:i/>
                        <w:kern w:val="2"/>
                        <w:sz w:val="18"/>
                        <w:szCs w:val="18"/>
                      </w:rPr>
                    </m:ctrlPr>
                  </m:e>
                  <m:sub>
                    <m: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ctrlPr>
                      <w:rPr>
                        <w:rFonts w:ascii="Cambria Math" w:hAnsi="Cambria Math" w:cs="Calibri"/>
                        <w:kern w:val="2"/>
                        <w:sz w:val="18"/>
                        <w:szCs w:val="18"/>
                      </w:rPr>
                    </m:ctrlPr>
                  </m:num>
                  <m:den>
                    <m: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w:rPr>
                            <w:rFonts w:ascii="Cambria Math" w:hAnsi="Cambria Math" w:cs="Calibri"/>
                            <w:kern w:val="2"/>
                            <w:sz w:val="18"/>
                            <w:szCs w:val="18"/>
                          </w:rPr>
                          <m:t>σ</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S</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S</m:t>
                    </m:r>
                    <m:ctrlPr>
                      <w:rPr>
                        <w:rFonts w:ascii="Cambria Math" w:hAnsi="Cambria Math" w:eastAsia="微软雅黑"/>
                        <w:sz w:val="18"/>
                        <w:szCs w:val="18"/>
                        <w:lang w:val="en-US"/>
                      </w:rPr>
                    </m:ctrlPr>
                  </m:e>
                  <m:sub>
                    <m: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w:rPr>
                        <w:rFonts w:ascii="Cambria Math" w:hAnsi="Cambria Math" w:eastAsia="微软雅黑"/>
                        <w:sz w:val="18"/>
                        <w:szCs w:val="18"/>
                        <w:lang w:val="en-US"/>
                      </w:rPr>
                      <m:t>1</m:t>
                    </m:r>
                    <m:ctrlPr>
                      <w:rPr>
                        <w:rFonts w:ascii="Cambria Math" w:hAnsi="Cambria Math" w:eastAsia="微软雅黑"/>
                        <w:sz w:val="18"/>
                        <w:szCs w:val="18"/>
                        <w:lang w:val="en-US"/>
                      </w:rPr>
                    </m:ctrlPr>
                  </m:num>
                  <m:den>
                    <m:r>
                      <w:rPr>
                        <w:rFonts w:ascii="Cambria Math" w:hAnsi="Cambria Math" w:eastAsia="微软雅黑"/>
                        <w:sz w:val="18"/>
                        <w:szCs w:val="18"/>
                        <w:lang w:val="en-US"/>
                      </w:rPr>
                      <m:t>2</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oMath>
            </m:oMathPara>
          </w:p>
        </w:tc>
        <w:tc>
          <w:tcPr>
            <w:tcW w:w="2069"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β</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σ</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w:rPr>
                        <w:rFonts w:ascii="Cambria Math" w:hAnsi="Cambria Math" w:eastAsia="微软雅黑"/>
                        <w:sz w:val="18"/>
                        <w:szCs w:val="18"/>
                        <w:lang w:val="en-US"/>
                      </w:rPr>
                      <m:t>∂T</m:t>
                    </m:r>
                    <m:ctrlPr>
                      <w:rPr>
                        <w:rFonts w:ascii="Cambria Math" w:hAnsi="Cambria Math" w:eastAsia="微软雅黑"/>
                        <w:i/>
                        <w:sz w:val="18"/>
                        <w:szCs w:val="18"/>
                        <w:lang w:val="en-US"/>
                      </w:rPr>
                    </m:ctrlPr>
                  </m:num>
                  <m:den>
                    <m: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k</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3ε</m:t>
                    </m:r>
                    <m:ctrlPr>
                      <w:rPr>
                        <w:rFonts w:ascii="Cambria Math" w:hAnsi="Cambria Math" w:eastAsia="微软雅黑"/>
                        <w:sz w:val="18"/>
                        <w:szCs w:val="18"/>
                        <w:lang w:val="en-US"/>
                      </w:rPr>
                    </m:ctrlPr>
                  </m:sub>
                </m:sSub>
                <m: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u</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w</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0.3679</m:t>
                  </m:r>
                  <m:ctrlPr>
                    <w:rPr>
                      <w:rFonts w:ascii="Cambria Math" w:hAnsi="Cambria Math" w:eastAsia="微软雅黑"/>
                      <w:sz w:val="18"/>
                      <w:szCs w:val="18"/>
                      <w:lang w:val="en-US"/>
                    </w:rPr>
                  </m:ctrlPr>
                </m:sup>
              </m:sSup>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R</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C</m:t>
                      </m:r>
                      <m:ctrlPr>
                        <w:rPr>
                          <w:rFonts w:ascii="Cambria Math" w:hAnsi="Cambria Math" w:eastAsia="微软雅黑"/>
                          <w:i/>
                          <w:sz w:val="18"/>
                          <w:szCs w:val="18"/>
                          <w:lang w:val="en-US"/>
                        </w:rPr>
                      </m:ctrlPr>
                    </m:e>
                    <m:sub>
                      <m:r>
                        <w:rPr>
                          <w:rFonts w:ascii="Cambria Math" w:hAnsi="Cambria Math" w:eastAsia="微软雅黑"/>
                          <w:sz w:val="18"/>
                          <w:szCs w:val="18"/>
                          <w:lang w:val="en-US"/>
                        </w:rPr>
                        <m:t>μ</m:t>
                      </m:r>
                      <m:ctrlPr>
                        <w:rPr>
                          <w:rFonts w:ascii="Cambria Math" w:hAnsi="Cambria Math" w:eastAsia="微软雅黑"/>
                          <w:i/>
                          <w:sz w:val="18"/>
                          <w:szCs w:val="18"/>
                          <w:lang w:val="en-US"/>
                        </w:rPr>
                      </m:ctrlPr>
                    </m:sub>
                  </m:sSub>
                  <m: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η</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ctrlPr>
                    <w:rPr>
                      <w:rFonts w:ascii="Cambria Math" w:hAnsi="Cambria Math" w:eastAsia="微软雅黑"/>
                      <w:sz w:val="18"/>
                      <w:szCs w:val="18"/>
                      <w:lang w:val="en-US"/>
                    </w:rPr>
                  </m:ctrlPr>
                </m:num>
                <m:den>
                  <m: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ε</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w:rPr>
                      <w:rFonts w:ascii="Cambria Math" w:hAnsi="Cambria Math" w:eastAsia="微软雅黑"/>
                      <w:sz w:val="18"/>
                      <w:szCs w:val="18"/>
                      <w:lang w:val="en-US"/>
                    </w:rPr>
                    <m:t>S</m:t>
                  </m:r>
                  <m: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η</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cs="微软雅黑"/>
                <w:sz w:val="18"/>
                <w:szCs w:val="18"/>
                <w:lang w:val="en-US"/>
              </w:rPr>
            </w:pPr>
          </w:p>
        </w:tc>
      </w:tr>
    </w:tbl>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pPr>
        <w:pStyle w:val="2"/>
      </w:pPr>
      <w:bookmarkStart w:id="72" w:name="_Toc452108768"/>
      <w:bookmarkStart w:id="73" w:name="_Toc3745"/>
      <w:bookmarkStart w:id="74" w:name="_Toc58243677"/>
      <w:bookmarkStart w:id="75" w:name="_Toc50050022"/>
      <w:bookmarkStart w:id="76" w:name="_Toc19975"/>
      <w:r>
        <w:rPr>
          <w:rFonts w:hint="eastAsia"/>
        </w:rPr>
        <w:t>结果</w:t>
      </w:r>
      <w:r>
        <w:t>分析</w:t>
      </w:r>
      <w:bookmarkEnd w:id="72"/>
      <w:bookmarkEnd w:id="73"/>
      <w:bookmarkEnd w:id="74"/>
      <w:bookmarkEnd w:id="75"/>
      <w:bookmarkEnd w:id="76"/>
    </w:p>
    <w:p>
      <w:pPr>
        <w:pStyle w:val="4"/>
        <w:rPr>
          <w:color w:val="auto"/>
        </w:rPr>
      </w:pPr>
      <w:bookmarkStart w:id="77" w:name="_Toc16609"/>
      <w:bookmarkStart w:id="78" w:name="_Toc58243678"/>
      <w:bookmarkStart w:id="79" w:name="_Toc50050023"/>
      <w:r>
        <w:rPr>
          <w:rFonts w:hint="eastAsia"/>
          <w:color w:val="auto"/>
        </w:rPr>
        <w:t>室内速度场分布</w:t>
      </w:r>
      <w:bookmarkEnd w:id="77"/>
      <w:bookmarkEnd w:id="78"/>
      <w:bookmarkEnd w:id="79"/>
    </w:p>
    <w:p>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p>
    <w:bookmarkEnd w:id="80"/>
    <w:p>
      <w:pPr>
        <w:pStyle w:val="31"/>
        <w:ind w:firstLine="360"/>
        <w:jc w:val="center"/>
        <w:rPr>
          <w:color w:val="auto"/>
          <w:sz w:val="18"/>
          <w:szCs w:val="18"/>
        </w:rPr>
      </w:pPr>
      <w:bookmarkStart w:id="81" w:name="_Toc50050024"/>
      <w:bookmarkStart w:id="82" w:name="_Toc58243679"/>
      <w:r>
        <w:rPr>
          <w:color w:val="auto"/>
          <w:sz w:val="18"/>
          <w:szCs w:val="18"/>
        </w:rPr>
        <w:t>图6-1 室内速度分布</w:t>
      </w:r>
    </w:p>
    <w:p>
      <w:pPr>
        <w:pStyle w:val="4"/>
        <w:rPr>
          <w:color w:val="auto"/>
        </w:rPr>
      </w:pPr>
      <w:bookmarkStart w:id="83" w:name="_Toc27125"/>
      <w:r>
        <w:rPr>
          <w:rFonts w:hint="eastAsia"/>
          <w:color w:val="auto"/>
        </w:rPr>
        <w:t>室内风速矢量图</w:t>
      </w:r>
      <w:bookmarkEnd w:id="81"/>
      <w:bookmarkEnd w:id="82"/>
      <w:bookmarkEnd w:id="83"/>
    </w:p>
    <w:p>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p>
    <w:bookmarkEnd w:id="84"/>
    <w:p>
      <w:pPr>
        <w:pStyle w:val="31"/>
        <w:ind w:firstLine="360"/>
        <w:jc w:val="center"/>
        <w:rPr>
          <w:color w:val="auto"/>
          <w:sz w:val="18"/>
          <w:szCs w:val="18"/>
        </w:rPr>
      </w:pPr>
      <w:bookmarkStart w:id="85" w:name="_Toc58243680"/>
      <w:bookmarkStart w:id="86" w:name="_Toc50050025"/>
      <w:r>
        <w:rPr>
          <w:color w:val="auto"/>
          <w:sz w:val="18"/>
          <w:szCs w:val="18"/>
        </w:rPr>
        <w:t>图6-2 室内风速矢量图</w:t>
      </w:r>
    </w:p>
    <w:p>
      <w:pPr>
        <w:pStyle w:val="4"/>
        <w:rPr>
          <w:color w:val="auto"/>
        </w:rPr>
      </w:pPr>
      <w:bookmarkStart w:id="87" w:name="_Toc23109"/>
      <w:r>
        <w:rPr>
          <w:rFonts w:hint="eastAsia"/>
          <w:color w:val="auto"/>
        </w:rPr>
        <w:t>流线图</w:t>
      </w:r>
      <w:bookmarkEnd w:id="87"/>
    </w:p>
    <w:p>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p>
    <w:p>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pPr>
        <w:pStyle w:val="2"/>
      </w:pPr>
      <w:bookmarkStart w:id="89" w:name="_Toc13663"/>
      <w:r>
        <w:rPr>
          <w:rFonts w:hint="eastAsia"/>
        </w:rPr>
        <w:t>结论</w:t>
      </w:r>
      <w:bookmarkEnd w:id="85"/>
      <w:bookmarkEnd w:id="86"/>
      <w:bookmarkEnd w:id="89"/>
    </w:p>
    <w:p>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18"/>
            <w:spacing w:line="360" w:lineRule="exact"/>
            <w:rPr>
              <w:sz w:val="20"/>
              <w:szCs w:val="21"/>
            </w:rPr>
          </w:pPr>
        </w:p>
      </w:tc>
      <w:tc>
        <w:tcPr>
          <w:tcW w:w="2841" w:type="dxa"/>
        </w:tcPr>
        <w:p>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pPr>
            <w:pStyle w:val="18"/>
            <w:spacing w:line="360" w:lineRule="exact"/>
            <w:jc w:val="right"/>
            <w:rPr>
              <w:sz w:val="20"/>
              <w:szCs w:val="21"/>
            </w:rPr>
          </w:pP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A4089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2BD524DD"/>
    <w:rsid w:val="30A40893"/>
    <w:rsid w:val="51DE7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KD\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tmp24.dotx</Template>
  <Pages>14</Pages>
  <Words>1314</Words>
  <Characters>1801</Characters>
  <Lines>26</Lines>
  <Paragraphs>7</Paragraphs>
  <TotalTime>0</TotalTime>
  <ScaleCrop>false</ScaleCrop>
  <LinksUpToDate>false</LinksUpToDate>
  <CharactersWithSpaces>1864</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2025-12-10T15:51:00Z</dcterms:created>
  <dc:creator>涟辰</dc:creator>
  <cp:lastModifiedBy>涟辰</cp:lastModifiedBy>
  <dcterms:modified xsi:type="dcterms:W3CDTF">2025-12-30T13:08:34Z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25400932633E4E909975E77D9E9DBFB1_12</vt:lpwstr>
  </property>
</Properties>
</file>