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pPr>
    </w:p>
    <w:p>
      <w:pPr>
        <w:pStyle w:val="48"/>
      </w:pPr>
    </w:p>
    <w:p>
      <w:pPr>
        <w:pStyle w:val="48"/>
        <w:jc w:val="distribute"/>
        <w:rPr>
          <w:b/>
          <w:sz w:val="72"/>
          <w:szCs w:val="72"/>
        </w:rPr>
      </w:pPr>
      <w:r>
        <w:rPr>
          <w:rFonts w:hint="eastAsia"/>
          <w:b/>
          <w:sz w:val="72"/>
          <w:szCs w:val="72"/>
        </w:rPr>
        <w:t>室内气流组织分析报告</w:t>
      </w:r>
    </w:p>
    <w:p>
      <w:pPr>
        <w:pStyle w:val="52"/>
        <w:spacing w:line="400" w:lineRule="exact"/>
      </w:pPr>
    </w:p>
    <w:p>
      <w:pPr>
        <w:pStyle w:val="52"/>
        <w:rPr>
          <w:b/>
        </w:rPr>
      </w:pPr>
      <w:bookmarkStart w:id="0" w:name="项目名称"/>
      <w:bookmarkEnd w:id="0"/>
    </w:p>
    <w:p>
      <w:pPr>
        <w:pStyle w:val="52"/>
        <w:rPr>
          <w:b/>
        </w:rPr>
      </w:pPr>
      <w:r>
        <w:rPr>
          <w:rFonts w:hint="eastAsia"/>
          <w:b/>
        </w:rPr>
        <w:t>设计编号：</w:t>
      </w:r>
      <w:bookmarkStart w:id="1" w:name="设计编号"/>
      <w:bookmarkEnd w:id="1"/>
      <w:r>
        <w:rPr>
          <w:rFonts w:hint="eastAsia"/>
          <w:b/>
          <w:lang w:val="en-US" w:eastAsia="zh-CN"/>
        </w:rPr>
        <w:t>BKA80084</w:t>
      </w:r>
      <w:bookmarkStart w:id="90" w:name="_GoBack"/>
      <w:bookmarkEnd w:id="90"/>
    </w:p>
    <w:p>
      <w:pPr>
        <w:pStyle w:val="52"/>
        <w:rPr>
          <w:b/>
        </w:rPr>
      </w:pPr>
    </w:p>
    <w:p>
      <w:pPr>
        <w:pStyle w:val="48"/>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pStyle w:val="48"/>
        <w:jc w:val="center"/>
      </w:pPr>
    </w:p>
    <w:p>
      <w:pPr>
        <w:pStyle w:val="48"/>
        <w:jc w:val="cente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工程地点</w:t>
            </w:r>
          </w:p>
        </w:tc>
        <w:tc>
          <w:tcPr>
            <w:tcW w:w="475" w:type="dxa"/>
            <w:vAlign w:val="center"/>
          </w:tcPr>
          <w:p>
            <w:pPr>
              <w:pStyle w:val="48"/>
              <w:spacing w:line="600" w:lineRule="exact"/>
              <w:ind w:right="-31" w:rightChars="-15"/>
              <w:jc w:val="center"/>
            </w:pPr>
            <w:r>
              <w:rPr>
                <w:rFonts w:hint="eastAsia"/>
              </w:rPr>
              <w:t>：</w:t>
            </w:r>
          </w:p>
        </w:tc>
        <w:tc>
          <w:tcPr>
            <w:tcW w:w="4624" w:type="dxa"/>
            <w:tcBorders>
              <w:bottom w:val="single" w:color="auto" w:sz="4" w:space="0"/>
            </w:tcBorders>
            <w:vAlign w:val="center"/>
          </w:tcPr>
          <w:p>
            <w:pPr>
              <w:pStyle w:val="48"/>
              <w:spacing w:line="600" w:lineRule="exact"/>
              <w:jc w:val="center"/>
            </w:pPr>
            <w:bookmarkStart w:id="3" w:name="工程地点"/>
            <w:bookmarkEnd w:id="3"/>
            <w:bookmarkStart w:id="4" w:name="项目地点"/>
            <w:r>
              <w:t>福州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建设单位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校对人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审定人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报告日期</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7" w:name="报告日期"/>
            <w:r>
              <w:t>2025年12月11日</w:t>
            </w:r>
            <w:bookmarkEnd w:id="7"/>
          </w:p>
        </w:tc>
      </w:tr>
    </w:tbl>
    <w:p/>
    <w:p>
      <w:pPr>
        <w:pStyle w:val="50"/>
      </w:pPr>
    </w:p>
    <w:tbl>
      <w:tblPr>
        <w:tblStyle w:val="23"/>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bCs/>
          <w:sz w:val="32"/>
          <w:szCs w:val="32"/>
        </w:rPr>
      </w:pPr>
      <w:r>
        <w:rPr>
          <w:b/>
          <w:bCs/>
          <w:sz w:val="28"/>
          <w:szCs w:val="32"/>
        </w:rPr>
        <w:br w:type="page"/>
      </w:r>
      <w:r>
        <w:rPr>
          <w:rFonts w:hint="eastAsia"/>
          <w:b/>
          <w:bCs/>
          <w:sz w:val="28"/>
          <w:szCs w:val="32"/>
        </w:rPr>
        <w:t>目  录</w:t>
      </w:r>
    </w:p>
    <w:p>
      <w:pPr>
        <w:pStyle w:val="20"/>
        <w:tabs>
          <w:tab w:val="right" w:leader="dot" w:pos="8306"/>
          <w:tab w:val="clear" w:pos="180"/>
          <w:tab w:val="clear" w:pos="420"/>
          <w:tab w:val="clear" w:pos="8222"/>
          <w:tab w:val="clear" w:pos="8296"/>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_Toc18927 </w:instrText>
      </w:r>
      <w:r>
        <w:rPr>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_Toc18927 </w:instrText>
      </w:r>
      <w:r>
        <w:fldChar w:fldCharType="separate"/>
      </w:r>
      <w:r>
        <w:t>3</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_Toc20363 </w:instrText>
      </w:r>
      <w:r>
        <w:rPr>
          <w:caps/>
        </w:rPr>
        <w:fldChar w:fldCharType="separate"/>
      </w:r>
      <w:r>
        <w:rPr>
          <w:rFonts w:hint="eastAsia" w:ascii="微软雅黑" w:hAnsi="微软雅黑" w:eastAsia="微软雅黑"/>
          <w:lang w:val="en-GB"/>
        </w:rPr>
        <w:t xml:space="preserve">1.1 </w:t>
      </w:r>
      <w:r>
        <w:t>平面图</w:t>
      </w:r>
      <w:r>
        <w:tab/>
      </w:r>
      <w:r>
        <w:fldChar w:fldCharType="begin"/>
      </w:r>
      <w:r>
        <w:instrText xml:space="preserve"> PAGEREF _Toc20363 </w:instrText>
      </w:r>
      <w:r>
        <w:fldChar w:fldCharType="separate"/>
      </w:r>
      <w:r>
        <w:t>3</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_Toc10749 </w:instrText>
      </w:r>
      <w:r>
        <w:rPr>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_Toc10749 </w:instrText>
      </w:r>
      <w:r>
        <w:fldChar w:fldCharType="separate"/>
      </w:r>
      <w:r>
        <w:t>3</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_Toc15496 </w:instrText>
      </w:r>
      <w:r>
        <w:rPr>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_Toc15496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_Toc13364 </w:instrText>
      </w:r>
      <w:r>
        <w:rPr>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_Toc13364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_Toc16501 </w:instrText>
      </w:r>
      <w:r>
        <w:rPr>
          <w:caps/>
        </w:rPr>
        <w:fldChar w:fldCharType="separate"/>
      </w:r>
      <w:r>
        <w:rPr>
          <w:rFonts w:hint="eastAsia" w:ascii="微软雅黑" w:hAnsi="微软雅黑" w:eastAsia="微软雅黑"/>
        </w:rPr>
        <w:t xml:space="preserve">4 </w:t>
      </w:r>
      <w:r>
        <w:rPr>
          <w:rFonts w:hint="eastAsia"/>
        </w:rPr>
        <w:t>技术措施</w:t>
      </w:r>
      <w:r>
        <w:tab/>
      </w:r>
      <w:r>
        <w:fldChar w:fldCharType="begin"/>
      </w:r>
      <w:r>
        <w:instrText xml:space="preserve"> PAGEREF _Toc16501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_Toc32342 </w:instrText>
      </w:r>
      <w:r>
        <w:rPr>
          <w:caps/>
        </w:rPr>
        <w:fldChar w:fldCharType="separate"/>
      </w:r>
      <w:r>
        <w:rPr>
          <w:rFonts w:hint="eastAsia" w:ascii="微软雅黑" w:hAnsi="微软雅黑" w:eastAsia="微软雅黑"/>
        </w:rPr>
        <w:t xml:space="preserve">5 </w:t>
      </w:r>
      <w:r>
        <w:rPr>
          <w:rFonts w:hint="eastAsia"/>
        </w:rPr>
        <w:t>计算方法</w:t>
      </w:r>
      <w:r>
        <w:tab/>
      </w:r>
      <w:r>
        <w:fldChar w:fldCharType="begin"/>
      </w:r>
      <w:r>
        <w:instrText xml:space="preserve"> PAGEREF _Toc32342 </w:instrText>
      </w:r>
      <w:r>
        <w:fldChar w:fldCharType="separate"/>
      </w:r>
      <w:r>
        <w:t>4</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_Toc10106 </w:instrText>
      </w:r>
      <w:r>
        <w:rPr>
          <w:caps/>
        </w:rPr>
        <w:fldChar w:fldCharType="separate"/>
      </w:r>
      <w:r>
        <w:rPr>
          <w:rFonts w:hint="eastAsia" w:ascii="微软雅黑" w:hAnsi="微软雅黑" w:eastAsia="微软雅黑"/>
          <w:lang w:val="en-GB"/>
        </w:rPr>
        <w:t xml:space="preserve">5.1 </w:t>
      </w:r>
      <w:r>
        <w:t>CFD</w:t>
      </w:r>
      <w:r>
        <w:rPr>
          <w:rFonts w:hint="eastAsia"/>
        </w:rPr>
        <w:t>计算原理</w:t>
      </w:r>
      <w:r>
        <w:tab/>
      </w:r>
      <w:r>
        <w:fldChar w:fldCharType="begin"/>
      </w:r>
      <w:r>
        <w:instrText xml:space="preserve"> PAGEREF _Toc10106 </w:instrText>
      </w:r>
      <w:r>
        <w:fldChar w:fldCharType="separate"/>
      </w:r>
      <w:r>
        <w:t>5</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_Toc9129 </w:instrText>
      </w:r>
      <w:r>
        <w:rPr>
          <w:caps/>
        </w:rPr>
        <w:fldChar w:fldCharType="separate"/>
      </w:r>
      <w:r>
        <w:rPr>
          <w:rFonts w:hint="eastAsia" w:ascii="微软雅黑" w:hAnsi="微软雅黑" w:eastAsia="微软雅黑"/>
        </w:rPr>
        <w:t xml:space="preserve">6 </w:t>
      </w:r>
      <w:r>
        <w:rPr>
          <w:rFonts w:hint="eastAsia"/>
        </w:rPr>
        <w:t>结果</w:t>
      </w:r>
      <w:r>
        <w:t>分析</w:t>
      </w:r>
      <w:r>
        <w:tab/>
      </w:r>
      <w:r>
        <w:fldChar w:fldCharType="begin"/>
      </w:r>
      <w:r>
        <w:instrText xml:space="preserve"> PAGEREF _Toc9129 </w:instrText>
      </w:r>
      <w:r>
        <w:fldChar w:fldCharType="separate"/>
      </w:r>
      <w:r>
        <w:t>7</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_Toc10364 </w:instrText>
      </w:r>
      <w:r>
        <w:rPr>
          <w:caps/>
        </w:rPr>
        <w:fldChar w:fldCharType="separate"/>
      </w:r>
      <w:r>
        <w:rPr>
          <w:rFonts w:hint="eastAsia" w:ascii="微软雅黑" w:hAnsi="微软雅黑" w:eastAsia="微软雅黑"/>
          <w:lang w:val="en-GB"/>
        </w:rPr>
        <w:t xml:space="preserve">6.1 </w:t>
      </w:r>
      <w:r>
        <w:rPr>
          <w:rFonts w:hint="eastAsia"/>
        </w:rPr>
        <w:t>室内速度场分布</w:t>
      </w:r>
      <w:r>
        <w:tab/>
      </w:r>
      <w:r>
        <w:fldChar w:fldCharType="begin"/>
      </w:r>
      <w:r>
        <w:instrText xml:space="preserve"> PAGEREF _Toc10364 </w:instrText>
      </w:r>
      <w:r>
        <w:fldChar w:fldCharType="separate"/>
      </w:r>
      <w:r>
        <w:t>7</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_Toc19791 </w:instrText>
      </w:r>
      <w:r>
        <w:rPr>
          <w:caps/>
        </w:rPr>
        <w:fldChar w:fldCharType="separate"/>
      </w:r>
      <w:r>
        <w:rPr>
          <w:rFonts w:hint="eastAsia" w:ascii="微软雅黑" w:hAnsi="微软雅黑" w:eastAsia="微软雅黑"/>
          <w:lang w:val="en-GB"/>
        </w:rPr>
        <w:t xml:space="preserve">6.2 </w:t>
      </w:r>
      <w:r>
        <w:rPr>
          <w:rFonts w:hint="eastAsia"/>
        </w:rPr>
        <w:t>室内风速矢量图</w:t>
      </w:r>
      <w:r>
        <w:tab/>
      </w:r>
      <w:r>
        <w:fldChar w:fldCharType="begin"/>
      </w:r>
      <w:r>
        <w:instrText xml:space="preserve"> PAGEREF _Toc19791 </w:instrText>
      </w:r>
      <w:r>
        <w:fldChar w:fldCharType="separate"/>
      </w:r>
      <w:r>
        <w:t>8</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_Toc9888 </w:instrText>
      </w:r>
      <w:r>
        <w:rPr>
          <w:caps/>
        </w:rPr>
        <w:fldChar w:fldCharType="separate"/>
      </w:r>
      <w:r>
        <w:rPr>
          <w:rFonts w:hint="eastAsia" w:ascii="微软雅黑" w:hAnsi="微软雅黑" w:eastAsia="微软雅黑"/>
          <w:lang w:val="en-GB"/>
        </w:rPr>
        <w:t xml:space="preserve">6.3 </w:t>
      </w:r>
      <w:r>
        <w:rPr>
          <w:rFonts w:hint="eastAsia"/>
        </w:rPr>
        <w:t>流线图</w:t>
      </w:r>
      <w:r>
        <w:tab/>
      </w:r>
      <w:r>
        <w:fldChar w:fldCharType="begin"/>
      </w:r>
      <w:r>
        <w:instrText xml:space="preserve"> PAGEREF _Toc9888 </w:instrText>
      </w:r>
      <w:r>
        <w:fldChar w:fldCharType="separate"/>
      </w:r>
      <w:r>
        <w:t>9</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_Toc24128 </w:instrText>
      </w:r>
      <w:r>
        <w:rPr>
          <w:caps/>
        </w:rPr>
        <w:fldChar w:fldCharType="separate"/>
      </w:r>
      <w:r>
        <w:rPr>
          <w:rFonts w:hint="eastAsia" w:ascii="微软雅黑" w:hAnsi="微软雅黑" w:eastAsia="微软雅黑"/>
        </w:rPr>
        <w:t xml:space="preserve">7 </w:t>
      </w:r>
      <w:r>
        <w:rPr>
          <w:rFonts w:hint="eastAsia"/>
        </w:rPr>
        <w:t>结论</w:t>
      </w:r>
      <w:r>
        <w:tab/>
      </w:r>
      <w:r>
        <w:fldChar w:fldCharType="begin"/>
      </w:r>
      <w:r>
        <w:instrText xml:space="preserve"> PAGEREF _Toc24128 </w:instrText>
      </w:r>
      <w:r>
        <w:fldChar w:fldCharType="separate"/>
      </w:r>
      <w:r>
        <w:t>10</w:t>
      </w:r>
      <w:r>
        <w:fldChar w:fldCharType="end"/>
      </w:r>
      <w:r>
        <w:rPr>
          <w:caps/>
        </w:rPr>
        <w:fldChar w:fldCharType="end"/>
      </w:r>
    </w:p>
    <w:p>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pPr>
        <w:pStyle w:val="2"/>
      </w:pPr>
      <w:bookmarkStart w:id="12" w:name="_Toc13735908"/>
      <w:bookmarkStart w:id="13" w:name="_Toc452108759"/>
      <w:bookmarkStart w:id="14" w:name="_Toc58243666"/>
      <w:bookmarkStart w:id="15" w:name="_Toc50050011"/>
      <w:bookmarkStart w:id="16" w:name="_Toc18927"/>
      <w:bookmarkStart w:id="17" w:name="TitleFormat"/>
      <w:bookmarkStart w:id="18" w:name="_Toc452108762"/>
      <w:r>
        <w:rPr>
          <w:rFonts w:hint="eastAsia"/>
        </w:rPr>
        <w:t>项目概况</w:t>
      </w:r>
      <w:bookmarkEnd w:id="12"/>
      <w:bookmarkEnd w:id="13"/>
      <w:bookmarkEnd w:id="14"/>
      <w:bookmarkEnd w:id="15"/>
      <w:bookmarkEnd w:id="16"/>
    </w:p>
    <w:p>
      <w:pPr>
        <w:pStyle w:val="3"/>
        <w:ind w:firstLine="420"/>
        <w:rPr>
          <w:rFonts w:ascii="微软雅黑" w:hAnsi="微软雅黑" w:eastAsia="微软雅黑"/>
          <w:lang w:val="en-US"/>
        </w:rPr>
      </w:pPr>
      <w:bookmarkStart w:id="19" w:name="项目概况"/>
      <w:bookmarkEnd w:id="19"/>
    </w:p>
    <w:p>
      <w:pPr>
        <w:pStyle w:val="3"/>
        <w:ind w:firstLine="420"/>
        <w:rPr>
          <w:rFonts w:ascii="微软雅黑" w:hAnsi="微软雅黑" w:eastAsia="微软雅黑"/>
          <w:lang w:val="en-US"/>
        </w:rPr>
      </w:pPr>
    </w:p>
    <w:p>
      <w:pPr>
        <w:pStyle w:val="4"/>
        <w:rPr>
          <w:color w:val="auto"/>
        </w:rPr>
      </w:pPr>
      <w:bookmarkStart w:id="20" w:name="_Toc20363"/>
      <w:bookmarkStart w:id="21" w:name="_Toc58243667"/>
      <w:bookmarkStart w:id="22" w:name="_Toc452108760"/>
      <w:bookmarkStart w:id="23" w:name="_Toc13735909"/>
      <w:bookmarkStart w:id="24" w:name="_Toc50050012"/>
      <w:bookmarkStart w:id="25" w:name="平面图2"/>
      <w:r>
        <w:rPr>
          <w:color w:val="auto"/>
        </w:rPr>
        <w:t>平面图</w:t>
      </w:r>
      <w:bookmarkEnd w:id="20"/>
      <w:bookmarkEnd w:id="21"/>
      <w:bookmarkEnd w:id="22"/>
      <w:bookmarkEnd w:id="23"/>
      <w:bookmarkEnd w:id="24"/>
    </w:p>
    <w:p>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6291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0"/>
                    <a:stretch>
                      <a:fillRect/>
                    </a:stretch>
                  </pic:blipFill>
                  <pic:spPr>
                    <a:xfrm>
                      <a:off x="0" y="0"/>
                      <a:ext cx="5667375" cy="462915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p>
    <w:bookmarkEnd w:id="25"/>
    <w:p>
      <w:pPr>
        <w:pStyle w:val="3"/>
        <w:ind w:firstLine="0" w:firstLineChars="0"/>
        <w:jc w:val="center"/>
        <w:rPr>
          <w:rFonts w:ascii="微软雅黑" w:hAnsi="微软雅黑" w:eastAsia="微软雅黑"/>
          <w:lang w:val="en-US"/>
        </w:rPr>
      </w:pPr>
    </w:p>
    <w:p>
      <w:pPr>
        <w:pStyle w:val="4"/>
        <w:rPr>
          <w:color w:val="auto"/>
        </w:rPr>
      </w:pPr>
      <w:bookmarkStart w:id="27" w:name="_Toc58243668"/>
      <w:bookmarkStart w:id="28" w:name="_Toc50050013"/>
      <w:bookmarkStart w:id="29" w:name="_Toc13735910"/>
      <w:bookmarkStart w:id="30" w:name="_Toc10749"/>
      <w:bookmarkStart w:id="31" w:name="_Toc452108761"/>
      <w:r>
        <w:rPr>
          <w:rFonts w:hint="eastAsia"/>
          <w:color w:val="auto"/>
        </w:rPr>
        <w:t>三</w:t>
      </w:r>
      <w:r>
        <w:rPr>
          <w:color w:val="auto"/>
        </w:rPr>
        <w:t>维视图</w:t>
      </w:r>
      <w:bookmarkEnd w:id="27"/>
      <w:bookmarkEnd w:id="28"/>
      <w:bookmarkEnd w:id="29"/>
      <w:bookmarkEnd w:id="30"/>
      <w:bookmarkEnd w:id="31"/>
    </w:p>
    <w:p>
      <w:pPr>
        <w:pStyle w:val="3"/>
        <w:ind w:firstLine="0" w:firstLineChars="0"/>
        <w:jc w:val="center"/>
        <w:rPr>
          <w:rFonts w:ascii="微软雅黑" w:hAnsi="微软雅黑" w:eastAsia="微软雅黑"/>
          <w:lang w:val="en-US"/>
        </w:rPr>
      </w:pPr>
      <w:bookmarkStart w:id="32" w:name="三维视图"/>
      <w:bookmarkEnd w:id="32"/>
      <w:bookmarkStart w:id="33" w:name="模型观察"/>
      <w:r>
        <w:t>请先在【模型观察】命令中保存图片</w:t>
      </w:r>
      <w:bookmarkEnd w:id="33"/>
    </w:p>
    <w:p>
      <w:pPr>
        <w:pStyle w:val="3"/>
        <w:ind w:firstLine="0" w:firstLineChars="0"/>
        <w:rPr>
          <w:rFonts w:ascii="微软雅黑" w:hAnsi="微软雅黑" w:eastAsia="微软雅黑"/>
          <w:lang w:val="en-US"/>
        </w:rPr>
      </w:pPr>
    </w:p>
    <w:p>
      <w:pPr>
        <w:pStyle w:val="2"/>
      </w:pPr>
      <w:bookmarkStart w:id="34" w:name="_Toc50050014"/>
      <w:bookmarkStart w:id="35" w:name="_Toc15496"/>
      <w:bookmarkStart w:id="36" w:name="_Toc58243669"/>
      <w:r>
        <w:rPr>
          <w:rFonts w:hint="eastAsia"/>
        </w:rPr>
        <w:t>计算</w:t>
      </w:r>
      <w:r>
        <w:t>依据</w:t>
      </w:r>
      <w:bookmarkEnd w:id="17"/>
      <w:bookmarkEnd w:id="18"/>
      <w:bookmarkEnd w:id="34"/>
      <w:bookmarkEnd w:id="35"/>
      <w:bookmarkEnd w:id="36"/>
    </w:p>
    <w:p>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《绿色建筑评价标准》GB/T50378-2019</w:t>
      </w:r>
      <w:bookmarkEnd w:id="38"/>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ind w:left="200" w:firstLine="0" w:firstLineChars="0"/>
        <w:rPr>
          <w:rFonts w:ascii="微软雅黑" w:hAnsi="微软雅黑" w:eastAsia="微软雅黑"/>
          <w:lang w:val="en-US"/>
        </w:rPr>
      </w:pPr>
    </w:p>
    <w:p>
      <w:pPr>
        <w:pStyle w:val="2"/>
      </w:pPr>
      <w:bookmarkStart w:id="39" w:name="_Toc58243670"/>
      <w:bookmarkStart w:id="40" w:name="_Toc13364"/>
      <w:bookmarkStart w:id="41" w:name="_Toc50050015"/>
      <w:r>
        <w:rPr>
          <w:rFonts w:hint="eastAsia"/>
        </w:rPr>
        <w:t>参考</w:t>
      </w:r>
      <w:r>
        <w:t>标准</w:t>
      </w:r>
      <w:bookmarkEnd w:id="37"/>
      <w:bookmarkEnd w:id="39"/>
      <w:bookmarkEnd w:id="40"/>
      <w:bookmarkEnd w:id="41"/>
    </w:p>
    <w:p>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《绿色建筑评价标准》GB/T50378-2019</w:t>
      </w:r>
      <w:bookmarkEnd w:id="45"/>
      <w:r>
        <w:rPr>
          <w:rFonts w:hint="eastAsia" w:ascii="微软雅黑" w:hAnsi="微软雅黑" w:eastAsia="微软雅黑"/>
          <w:lang w:val="en-US"/>
        </w:rPr>
        <w:t>中控制项5.1.2条的要求，具体要求如下：</w:t>
      </w:r>
    </w:p>
    <w:p>
      <w:pPr>
        <w:pStyle w:val="15"/>
        <w:tabs>
          <w:tab w:val="left" w:pos="312"/>
        </w:tabs>
        <w:spacing w:line="360" w:lineRule="auto"/>
        <w:ind w:firstLineChars="0"/>
        <w:rPr>
          <w:rFonts w:cs="Times New Roman"/>
          <w:kern w:val="0"/>
          <w:sz w:val="21"/>
          <w:szCs w:val="21"/>
        </w:rPr>
      </w:pPr>
      <w:r>
        <w:rPr>
          <w:rFonts w:hint="eastAsia" w:cs="Times New Roman"/>
          <w:kern w:val="0"/>
          <w:sz w:val="21"/>
          <w:szCs w:val="21"/>
        </w:rPr>
        <w:t>应采取措施避免厨房、餐厅、打印复印室、卫生间、地下车库等区域的空气和污染物串通到其他空间；应防止厨房、卫生间的排气倒灌。</w:t>
      </w:r>
    </w:p>
    <w:p>
      <w:pPr>
        <w:pStyle w:val="2"/>
      </w:pPr>
      <w:bookmarkStart w:id="46" w:name="_Toc16501"/>
      <w:bookmarkStart w:id="47" w:name="_Toc50050016"/>
      <w:bookmarkStart w:id="48" w:name="_Toc58243671"/>
      <w:r>
        <w:rPr>
          <w:rFonts w:hint="eastAsia"/>
        </w:rPr>
        <w:t>技术措施</w:t>
      </w:r>
      <w:bookmarkEnd w:id="46"/>
      <w:bookmarkEnd w:id="47"/>
      <w:bookmarkEnd w:id="48"/>
    </w:p>
    <w:p>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pPr>
        <w:pStyle w:val="3"/>
        <w:ind w:firstLine="420"/>
        <w:rPr>
          <w:rFonts w:ascii="微软雅黑" w:hAnsi="微软雅黑" w:eastAsia="微软雅黑"/>
          <w:lang w:val="en-US"/>
        </w:rPr>
      </w:pPr>
      <w:bookmarkStart w:id="49" w:name="技术措施"/>
      <w:r>
        <w:t>无</w:t>
      </w:r>
      <w:bookmarkEnd w:id="49"/>
    </w:p>
    <w:p>
      <w:pPr>
        <w:pStyle w:val="2"/>
      </w:pPr>
      <w:bookmarkStart w:id="50" w:name="_Toc58243672"/>
      <w:bookmarkStart w:id="51" w:name="_Toc32342"/>
      <w:bookmarkStart w:id="52" w:name="_Toc50050017"/>
      <w:r>
        <w:rPr>
          <w:rFonts w:hint="eastAsia"/>
        </w:rPr>
        <w:t>计算</w:t>
      </w:r>
      <w:bookmarkEnd w:id="42"/>
      <w:bookmarkEnd w:id="43"/>
      <w:r>
        <w:rPr>
          <w:rFonts w:hint="eastAsia"/>
        </w:rPr>
        <w:t>方法</w:t>
      </w:r>
      <w:bookmarkEnd w:id="50"/>
      <w:bookmarkEnd w:id="51"/>
      <w:bookmarkEnd w:id="52"/>
    </w:p>
    <w:p>
      <w:pPr>
        <w:pStyle w:val="3"/>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本项目首先采用CFD计算得出室内流速分布和气流方向，从整体上展示室内风速和气流组织，为室内优化设计提供依据。</w:t>
      </w:r>
    </w:p>
    <w:p>
      <w:pPr>
        <w:pStyle w:val="4"/>
        <w:rPr>
          <w:color w:val="auto"/>
        </w:rPr>
      </w:pPr>
      <w:bookmarkStart w:id="53" w:name="_Toc50050018"/>
      <w:bookmarkStart w:id="54" w:name="_Toc58243673"/>
      <w:bookmarkStart w:id="55" w:name="_Toc10106"/>
      <w:r>
        <w:rPr>
          <w:color w:val="auto"/>
        </w:rPr>
        <w:t>CFD</w:t>
      </w:r>
      <w:r>
        <w:rPr>
          <w:rFonts w:hint="eastAsia"/>
          <w:color w:val="auto"/>
        </w:rPr>
        <w:t>计算原理</w:t>
      </w:r>
      <w:bookmarkEnd w:id="53"/>
      <w:bookmarkEnd w:id="54"/>
      <w:bookmarkEnd w:id="55"/>
    </w:p>
    <w:p>
      <w:pPr>
        <w:pStyle w:val="5"/>
      </w:pPr>
      <w:bookmarkStart w:id="56" w:name="_Toc50050019"/>
      <w:bookmarkStart w:id="57" w:name="_Toc58243674"/>
      <w:bookmarkStart w:id="58" w:name="_Toc452108765"/>
      <w:bookmarkStart w:id="59" w:name="_Toc451698937"/>
      <w:r>
        <w:rPr>
          <w:rFonts w:hint="eastAsia"/>
        </w:rPr>
        <w:t>湍流模型</w:t>
      </w:r>
      <w:bookmarkEnd w:id="56"/>
      <w:bookmarkEnd w:id="57"/>
    </w:p>
    <w:p>
      <w:pPr>
        <w:pStyle w:val="3"/>
        <w:ind w:firstLine="0" w:firstLineChars="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3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2"/>
        <w:tblW w:w="8379" w:type="dxa"/>
        <w:tblInd w:w="93" w:type="dxa"/>
        <w:tblLayout w:type="fixed"/>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ind w:left="0" w:firstLine="0"/>
      </w:pPr>
      <w:bookmarkStart w:id="60" w:name="_Toc58243675"/>
      <w:bookmarkStart w:id="61" w:name="_Toc50050020"/>
      <w:bookmarkStart w:id="62" w:name="_Toc8151"/>
      <w:bookmarkStart w:id="63" w:name="_Toc452108766"/>
      <w:bookmarkStart w:id="64" w:name="_Toc451698938"/>
      <w:r>
        <w:rPr>
          <w:rFonts w:hint="eastAsia"/>
        </w:rPr>
        <w:t>边界条件</w:t>
      </w:r>
      <w:bookmarkEnd w:id="60"/>
      <w:bookmarkEnd w:id="61"/>
      <w:bookmarkEnd w:id="62"/>
      <w:bookmarkEnd w:id="63"/>
      <w:bookmarkEnd w:id="64"/>
    </w:p>
    <w:p>
      <w:pPr>
        <w:spacing w:line="400" w:lineRule="atLeast"/>
        <w:ind w:firstLine="435"/>
      </w:pPr>
      <w:r>
        <w:rPr>
          <w:rFonts w:hint="eastAsia"/>
          <w:b/>
        </w:rPr>
        <w:t>进风窗口</w:t>
      </w:r>
      <w:r>
        <w:rPr>
          <w:rFonts w:hint="eastAsia"/>
        </w:rPr>
        <w:t>：采用压强边界条件；</w:t>
      </w:r>
    </w:p>
    <w:p>
      <w:pPr>
        <w:spacing w:line="400" w:lineRule="atLeast"/>
        <w:ind w:firstLine="435"/>
      </w:pPr>
      <w:r>
        <w:rPr>
          <w:rFonts w:hint="eastAsia"/>
          <w:b/>
        </w:rPr>
        <w:t>排风窗口</w:t>
      </w:r>
      <w:r>
        <w:rPr>
          <w:rFonts w:hint="eastAsia"/>
        </w:rPr>
        <w:t>：采用压强边界条件。</w:t>
      </w:r>
    </w:p>
    <w:p>
      <w:pPr>
        <w:pStyle w:val="5"/>
        <w:tabs>
          <w:tab w:val="left" w:pos="360"/>
        </w:tabs>
        <w:ind w:left="0" w:firstLine="0"/>
      </w:pPr>
      <w:bookmarkStart w:id="65" w:name="_Toc451698939"/>
      <w:bookmarkStart w:id="66" w:name="_Toc50050021"/>
      <w:bookmarkStart w:id="67" w:name="_Toc452108767"/>
      <w:bookmarkStart w:id="68" w:name="_Toc58243676"/>
      <w:bookmarkStart w:id="69" w:name="_Toc23583"/>
      <w:r>
        <w:rPr>
          <w:rFonts w:hint="eastAsia"/>
        </w:rPr>
        <w:t>求解计算</w:t>
      </w:r>
      <w:bookmarkEnd w:id="65"/>
      <w:bookmarkEnd w:id="66"/>
      <w:bookmarkEnd w:id="67"/>
      <w:bookmarkEnd w:id="68"/>
      <w:bookmarkEnd w:id="69"/>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w:rPr>
                  <w:rFonts w:ascii="Cambria Math" w:hAnsi="Cambria Math" w:eastAsia="微软雅黑"/>
                  <w:lang w:val="en-US"/>
                </w:rPr>
                <m:t>∂(ρϕ)</m:t>
              </m:r>
              <m:ctrlPr>
                <w:rPr>
                  <w:rFonts w:ascii="Cambria Math" w:hAnsi="Cambria Math" w:eastAsia="微软雅黑"/>
                  <w:lang w:val="en-US"/>
                </w:rPr>
              </m:ctrlPr>
            </m:num>
            <m:den>
              <m: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w:rPr>
                      <w:rFonts w:ascii="Cambria Math" w:hAnsi="Cambria Math" w:eastAsia="微软雅黑"/>
                      <w:lang w:val="en-US"/>
                    </w:rPr>
                    <m:t>ϕ</m:t>
                  </m:r>
                  <m:ctrlPr>
                    <w:rPr>
                      <w:rFonts w:ascii="Cambria Math" w:hAnsi="Cambria Math" w:eastAsia="微软雅黑"/>
                      <w:i/>
                      <w:lang w:val="en-US"/>
                    </w:rPr>
                  </m:ctrlPr>
                </m:sub>
              </m:sSub>
              <m: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w:rPr>
                  <w:rFonts w:ascii="Cambria Math" w:hAnsi="Cambria Math" w:eastAsia="微软雅黑"/>
                  <w:lang w:val="en-US"/>
                </w:rPr>
                <m:t>S</m:t>
              </m:r>
              <m:ctrlPr>
                <w:rPr>
                  <w:rFonts w:ascii="Cambria Math" w:hAnsi="Cambria Math" w:eastAsia="微软雅黑"/>
                  <w:lang w:val="en-US"/>
                </w:rPr>
              </m:ctrlPr>
            </m:e>
            <m:sub>
              <m:r>
                <w:rPr>
                  <w:rFonts w:ascii="Cambria Math" w:hAnsi="Cambria Math" w:eastAsia="微软雅黑"/>
                  <w:lang w:val="en-US"/>
                </w:rPr>
                <m:t>ϕ</m:t>
              </m:r>
              <m:ctrlPr>
                <w:rPr>
                  <w:rFonts w:ascii="Cambria Math" w:hAnsi="Cambria Math" w:eastAsia="微软雅黑"/>
                  <w:lang w:val="en-US"/>
                </w:rPr>
              </m:ctrlPr>
            </m:sub>
          </m:sSub>
        </m:oMath>
      </m:oMathPara>
    </w:p>
    <w:p>
      <w:pPr>
        <w:pStyle w:val="3"/>
        <w:ind w:firstLine="420" w:firstLineChars="0"/>
        <w:rPr>
          <w:rFonts w:ascii="微软雅黑" w:hAnsi="微软雅黑" w:eastAsia="微软雅黑"/>
          <w:lang w:val="en-US"/>
        </w:rPr>
      </w:pPr>
      <w:r>
        <w:rPr>
          <w:rFonts w:hint="eastAsia" w:ascii="微软雅黑" w:hAnsi="微软雅黑" w:eastAsia="微软雅黑"/>
          <w:lang w:val="en-US"/>
        </w:rPr>
        <w:t>该式中的</w:t>
      </w:r>
      <m:oMath>
        <m:r>
          <m:rPr>
            <m:sty m:val="p"/>
          </m:rPr>
          <w:rPr>
            <w:rFonts w:ascii="Cambria Math" w:hAnsi="Cambria Math" w:eastAsia="微软雅黑"/>
            <w:lang w:val="en-US"/>
          </w:rPr>
          <m:t>ϕ</m:t>
        </m:r>
      </m:oMath>
      <w:r>
        <w:rPr>
          <w:rFonts w:hint="eastAsia" w:ascii="微软雅黑" w:hAnsi="微软雅黑" w:eastAsia="微软雅黑"/>
          <w:lang w:val="en-US"/>
        </w:rPr>
        <w:t>可以是速度、湍流动能、湍流耗散率以及温度等物理量，参照下表</w:t>
      </w:r>
    </w:p>
    <w:p>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2"/>
        <w:tblW w:w="850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S</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S</m:t>
                    </m:r>
                    <m:ctrlPr>
                      <w:rPr>
                        <w:rFonts w:ascii="Cambria Math" w:hAnsi="Cambria Math" w:eastAsia="微软雅黑"/>
                        <w:sz w:val="18"/>
                        <w:szCs w:val="18"/>
                        <w:lang w:val="en-US"/>
                      </w:rPr>
                    </m:ctrlPr>
                  </m:e>
                  <m:sub>
                    <m: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w:rPr>
                        <w:rFonts w:ascii="Cambria Math" w:hAnsi="Cambria Math" w:eastAsia="微软雅黑"/>
                        <w:sz w:val="18"/>
                        <w:szCs w:val="18"/>
                        <w:lang w:val="en-US"/>
                      </w:rPr>
                      <m:t>1</m:t>
                    </m:r>
                    <m:ctrlPr>
                      <w:rPr>
                        <w:rFonts w:ascii="Cambria Math" w:hAnsi="Cambria Math" w:eastAsia="微软雅黑"/>
                        <w:sz w:val="18"/>
                        <w:szCs w:val="18"/>
                        <w:lang w:val="en-US"/>
                      </w:rPr>
                    </m:ctrlPr>
                  </m:num>
                  <m:den>
                    <m:r>
                      <w:rPr>
                        <w:rFonts w:ascii="Cambria Math" w:hAnsi="Cambria Math" w:eastAsia="微软雅黑"/>
                        <w:sz w:val="18"/>
                        <w:szCs w:val="18"/>
                        <w:lang w:val="en-US"/>
                      </w:rPr>
                      <m:t>2</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oMath>
            </m:oMathPara>
          </w:p>
        </w:tc>
        <w:tc>
          <w:tcPr>
            <w:tcW w:w="2069"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β</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σ</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w:rPr>
                        <w:rFonts w:ascii="Cambria Math" w:hAnsi="Cambria Math" w:eastAsia="微软雅黑"/>
                        <w:sz w:val="18"/>
                        <w:szCs w:val="18"/>
                        <w:lang w:val="en-US"/>
                      </w:rPr>
                      <m:t>∂T</m:t>
                    </m:r>
                    <m:ctrlPr>
                      <w:rPr>
                        <w:rFonts w:ascii="Cambria Math" w:hAnsi="Cambria Math" w:eastAsia="微软雅黑"/>
                        <w:i/>
                        <w:sz w:val="18"/>
                        <w:szCs w:val="18"/>
                        <w:lang w:val="en-US"/>
                      </w:rPr>
                    </m:ctrlPr>
                  </m:num>
                  <m:den>
                    <m: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k</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3ε</m:t>
                    </m:r>
                    <m:ctrlPr>
                      <w:rPr>
                        <w:rFonts w:ascii="Cambria Math" w:hAnsi="Cambria Math" w:eastAsia="微软雅黑"/>
                        <w:sz w:val="18"/>
                        <w:szCs w:val="18"/>
                        <w:lang w:val="en-US"/>
                      </w:rPr>
                    </m:ctrlPr>
                  </m:sub>
                </m:sSub>
                <m: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u</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w</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0.3679</m:t>
                  </m:r>
                  <m:ctrlPr>
                    <w:rPr>
                      <w:rFonts w:ascii="Cambria Math" w:hAnsi="Cambria Math" w:eastAsia="微软雅黑"/>
                      <w:sz w:val="18"/>
                      <w:szCs w:val="18"/>
                      <w:lang w:val="en-US"/>
                    </w:rPr>
                  </m:ctrlPr>
                </m:sup>
              </m:sSup>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w:rPr>
                  <w:rFonts w:ascii="Cambria Math" w:hAnsi="Cambria Math" w:eastAsia="微软雅黑"/>
                  <w:sz w:val="18"/>
                  <w:szCs w:val="18"/>
                  <w:lang w:val="en-US"/>
                </w:rPr>
                <m:t>=1.0</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w:rPr>
                  <w:rFonts w:ascii="Cambria Math" w:hAnsi="Cambria Math" w:eastAsia="微软雅黑"/>
                  <w:sz w:val="18"/>
                  <w:szCs w:val="18"/>
                  <w:lang w:val="en-US"/>
                </w:rPr>
                <m:t>≈1.393</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R</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C</m:t>
                      </m:r>
                      <m:ctrlPr>
                        <w:rPr>
                          <w:rFonts w:ascii="Cambria Math" w:hAnsi="Cambria Math" w:eastAsia="微软雅黑"/>
                          <w:i/>
                          <w:sz w:val="18"/>
                          <w:szCs w:val="18"/>
                          <w:lang w:val="en-US"/>
                        </w:rPr>
                      </m:ctrlPr>
                    </m:e>
                    <m:sub>
                      <m:r>
                        <w:rPr>
                          <w:rFonts w:ascii="Cambria Math" w:hAnsi="Cambria Math" w:eastAsia="微软雅黑"/>
                          <w:sz w:val="18"/>
                          <w:szCs w:val="18"/>
                          <w:lang w:val="en-US"/>
                        </w:rPr>
                        <m:t>μ</m:t>
                      </m:r>
                      <m:ctrlPr>
                        <w:rPr>
                          <w:rFonts w:ascii="Cambria Math" w:hAnsi="Cambria Math" w:eastAsia="微软雅黑"/>
                          <w:i/>
                          <w:sz w:val="18"/>
                          <w:szCs w:val="18"/>
                          <w:lang w:val="en-US"/>
                        </w:rPr>
                      </m:ctrlPr>
                    </m:sub>
                  </m:sSub>
                  <m: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η</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ctrlPr>
                    <w:rPr>
                      <w:rFonts w:ascii="Cambria Math" w:hAnsi="Cambria Math" w:eastAsia="微软雅黑"/>
                      <w:sz w:val="18"/>
                      <w:szCs w:val="18"/>
                      <w:lang w:val="en-US"/>
                    </w:rPr>
                  </m:ctrlPr>
                </m:num>
                <m:den>
                  <m: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ε</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w:rPr>
                      <w:rFonts w:ascii="Cambria Math" w:hAnsi="Cambria Math" w:eastAsia="微软雅黑"/>
                      <w:sz w:val="18"/>
                      <w:szCs w:val="18"/>
                      <w:lang w:val="en-US"/>
                    </w:rPr>
                    <m:t>S</m:t>
                  </m:r>
                  <m: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η</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cs="微软雅黑"/>
                <w:sz w:val="18"/>
                <w:szCs w:val="18"/>
                <w:lang w:val="en-US"/>
              </w:rPr>
            </w:pPr>
          </w:p>
        </w:tc>
      </w:tr>
    </w:tbl>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2"/>
      </w:pPr>
      <w:bookmarkStart w:id="72" w:name="_Toc58243677"/>
      <w:bookmarkStart w:id="73" w:name="_Toc9129"/>
      <w:bookmarkStart w:id="74" w:name="_Toc50050022"/>
      <w:bookmarkStart w:id="75" w:name="_Toc3745"/>
      <w:bookmarkStart w:id="76" w:name="_Toc452108768"/>
      <w:r>
        <w:rPr>
          <w:rFonts w:hint="eastAsia"/>
        </w:rPr>
        <w:t>结果</w:t>
      </w:r>
      <w:r>
        <w:t>分析</w:t>
      </w:r>
      <w:bookmarkEnd w:id="72"/>
      <w:bookmarkEnd w:id="73"/>
      <w:bookmarkEnd w:id="74"/>
      <w:bookmarkEnd w:id="75"/>
      <w:bookmarkEnd w:id="76"/>
    </w:p>
    <w:p>
      <w:pPr>
        <w:pStyle w:val="4"/>
        <w:rPr>
          <w:color w:val="auto"/>
        </w:rPr>
      </w:pPr>
      <w:bookmarkStart w:id="77" w:name="_Toc10364"/>
      <w:bookmarkStart w:id="78" w:name="_Toc50050023"/>
      <w:bookmarkStart w:id="79" w:name="_Toc58243678"/>
      <w:r>
        <w:rPr>
          <w:rFonts w:hint="eastAsia"/>
          <w:color w:val="auto"/>
        </w:rPr>
        <w:t>室内速度场分布</w:t>
      </w:r>
      <w:bookmarkEnd w:id="77"/>
      <w:bookmarkEnd w:id="78"/>
      <w:bookmarkEnd w:id="79"/>
    </w:p>
    <w:p>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3514725"/>
                    </a:xfrm>
                    <a:prstGeom prst="rect">
                      <a:avLst/>
                    </a:prstGeom>
                  </pic:spPr>
                </pic:pic>
              </a:graphicData>
            </a:graphic>
          </wp:inline>
        </w:drawing>
      </w:r>
    </w:p>
    <w:bookmarkEnd w:id="80"/>
    <w:p>
      <w:pPr>
        <w:pStyle w:val="31"/>
        <w:ind w:firstLine="360"/>
        <w:jc w:val="center"/>
        <w:rPr>
          <w:color w:val="auto"/>
          <w:sz w:val="18"/>
          <w:szCs w:val="18"/>
        </w:rPr>
      </w:pPr>
      <w:bookmarkStart w:id="81" w:name="_Toc50050024"/>
      <w:bookmarkStart w:id="82" w:name="_Toc58243679"/>
      <w:r>
        <w:rPr>
          <w:color w:val="auto"/>
          <w:sz w:val="18"/>
          <w:szCs w:val="18"/>
        </w:rPr>
        <w:t>图6-1 室内速度分布</w:t>
      </w:r>
    </w:p>
    <w:p>
      <w:pPr>
        <w:pStyle w:val="4"/>
        <w:rPr>
          <w:color w:val="auto"/>
        </w:rPr>
      </w:pPr>
      <w:bookmarkStart w:id="83" w:name="_Toc19791"/>
      <w:r>
        <w:rPr>
          <w:rFonts w:hint="eastAsia"/>
          <w:color w:val="auto"/>
        </w:rPr>
        <w:t>室内风速矢量图</w:t>
      </w:r>
      <w:bookmarkEnd w:id="81"/>
      <w:bookmarkEnd w:id="82"/>
      <w:bookmarkEnd w:id="83"/>
    </w:p>
    <w:p>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3514725"/>
                    </a:xfrm>
                    <a:prstGeom prst="rect">
                      <a:avLst/>
                    </a:prstGeom>
                  </pic:spPr>
                </pic:pic>
              </a:graphicData>
            </a:graphic>
          </wp:inline>
        </w:drawing>
      </w:r>
    </w:p>
    <w:bookmarkEnd w:id="84"/>
    <w:p>
      <w:pPr>
        <w:pStyle w:val="31"/>
        <w:ind w:firstLine="360"/>
        <w:jc w:val="center"/>
        <w:rPr>
          <w:color w:val="auto"/>
          <w:sz w:val="18"/>
          <w:szCs w:val="18"/>
        </w:rPr>
      </w:pPr>
      <w:bookmarkStart w:id="85" w:name="_Toc50050025"/>
      <w:bookmarkStart w:id="86" w:name="_Toc58243680"/>
      <w:r>
        <w:rPr>
          <w:color w:val="auto"/>
          <w:sz w:val="18"/>
          <w:szCs w:val="18"/>
        </w:rPr>
        <w:t>图6-2 室内风速矢量图</w:t>
      </w:r>
    </w:p>
    <w:p>
      <w:pPr>
        <w:pStyle w:val="4"/>
        <w:rPr>
          <w:color w:val="auto"/>
        </w:rPr>
      </w:pPr>
      <w:bookmarkStart w:id="87" w:name="_Toc9888"/>
      <w:r>
        <w:rPr>
          <w:rFonts w:hint="eastAsia"/>
          <w:color w:val="auto"/>
        </w:rPr>
        <w:t>流线图</w:t>
      </w:r>
      <w:bookmarkEnd w:id="87"/>
    </w:p>
    <w:p>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p>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pPr>
        <w:pStyle w:val="2"/>
      </w:pPr>
      <w:bookmarkStart w:id="89" w:name="_Toc24128"/>
      <w:r>
        <w:rPr>
          <w:rFonts w:hint="eastAsia"/>
        </w:rPr>
        <w:t>结论</w:t>
      </w:r>
      <w:bookmarkEnd w:id="85"/>
      <w:bookmarkEnd w:id="86"/>
      <w:bookmarkEnd w:id="89"/>
    </w:p>
    <w:p>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pPr>
        <w:pStyle w:val="3"/>
        <w:tabs>
          <w:tab w:val="left" w:pos="7938"/>
        </w:tabs>
        <w:ind w:firstLine="480"/>
        <w:rPr>
          <w:rFonts w:ascii="微软雅黑" w:hAnsi="微软雅黑" w:eastAsia="微软雅黑"/>
          <w:sz w:val="24"/>
          <w:szCs w:val="24"/>
          <w:lang w:val="en-US"/>
        </w:rPr>
      </w:pPr>
    </w:p>
    <w:sectPr>
      <w:headerReference r:id="rId6" w:type="default"/>
      <w:pgSz w:w="11906" w:h="16838"/>
      <w:pgMar w:top="1440" w:right="1800" w:bottom="1440" w:left="1800" w:header="85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8"/>
            <w:spacing w:line="360" w:lineRule="exact"/>
            <w:rPr>
              <w:sz w:val="20"/>
              <w:szCs w:val="21"/>
            </w:rPr>
          </w:pPr>
        </w:p>
      </w:tc>
      <w:tc>
        <w:tcPr>
          <w:tcW w:w="2841" w:type="dxa"/>
        </w:tcPr>
        <w:p>
          <w:pPr>
            <w:pStyle w:val="18"/>
            <w:spacing w:line="360" w:lineRule="exact"/>
            <w:jc w:val="center"/>
            <w:rPr>
              <w:sz w:val="20"/>
              <w:szCs w:val="21"/>
            </w:rPr>
          </w:pPr>
          <w:sdt>
            <w:sdtPr>
              <w:rPr>
                <w:sz w:val="20"/>
              </w:rPr>
              <w:id w:val="-1045986677"/>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pPr>
            <w:pStyle w:val="18"/>
            <w:spacing w:line="360" w:lineRule="exact"/>
            <w:jc w:val="right"/>
            <w:rPr>
              <w:sz w:val="20"/>
              <w:szCs w:val="21"/>
            </w:rPr>
          </w:pP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1466C"/>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B2D07"/>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96"/>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774F"/>
    <w:rsid w:val="00201812"/>
    <w:rsid w:val="00203163"/>
    <w:rsid w:val="00203A7D"/>
    <w:rsid w:val="00215EBC"/>
    <w:rsid w:val="00217F09"/>
    <w:rsid w:val="0022597C"/>
    <w:rsid w:val="002431AE"/>
    <w:rsid w:val="002555B8"/>
    <w:rsid w:val="002611A7"/>
    <w:rsid w:val="002647C5"/>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D7DF3"/>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4A1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08E8"/>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3B59"/>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A468F"/>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088"/>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168C5"/>
    <w:rsid w:val="00A23D26"/>
    <w:rsid w:val="00A25C14"/>
    <w:rsid w:val="00A273C5"/>
    <w:rsid w:val="00A306C2"/>
    <w:rsid w:val="00A31766"/>
    <w:rsid w:val="00A32590"/>
    <w:rsid w:val="00A327ED"/>
    <w:rsid w:val="00A352C9"/>
    <w:rsid w:val="00A355BD"/>
    <w:rsid w:val="00A41C1F"/>
    <w:rsid w:val="00A4318E"/>
    <w:rsid w:val="00A566CB"/>
    <w:rsid w:val="00A67355"/>
    <w:rsid w:val="00A7025C"/>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7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1757"/>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6A2A"/>
    <w:rsid w:val="00DC73AD"/>
    <w:rsid w:val="00DD16C4"/>
    <w:rsid w:val="00DD2870"/>
    <w:rsid w:val="00DE50D2"/>
    <w:rsid w:val="00DF470C"/>
    <w:rsid w:val="00DF486E"/>
    <w:rsid w:val="00DF4996"/>
    <w:rsid w:val="00DF4B1A"/>
    <w:rsid w:val="00DF67BB"/>
    <w:rsid w:val="00E05025"/>
    <w:rsid w:val="00E07E2B"/>
    <w:rsid w:val="00E10A3D"/>
    <w:rsid w:val="00E11160"/>
    <w:rsid w:val="00E13DCB"/>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90F"/>
    <w:rsid w:val="00EE1BA7"/>
    <w:rsid w:val="00EE68A9"/>
    <w:rsid w:val="00EE7411"/>
    <w:rsid w:val="00EF3DA5"/>
    <w:rsid w:val="00EF60A9"/>
    <w:rsid w:val="00EF7114"/>
    <w:rsid w:val="00EF7501"/>
    <w:rsid w:val="00F0656F"/>
    <w:rsid w:val="00F30C12"/>
    <w:rsid w:val="00F34D0D"/>
    <w:rsid w:val="00F418EC"/>
    <w:rsid w:val="00F5023B"/>
    <w:rsid w:val="00F60A3F"/>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0F00"/>
    <w:rsid w:val="00FC7756"/>
    <w:rsid w:val="00FE33B7"/>
    <w:rsid w:val="00FE4CC4"/>
    <w:rsid w:val="00FE79B9"/>
    <w:rsid w:val="00FF2243"/>
    <w:rsid w:val="2BD524DD"/>
    <w:rsid w:val="2EA1466C"/>
    <w:rsid w:val="43654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spacing w:line="440" w:lineRule="exact"/>
      <w:ind w:left="210" w:firstLine="100" w:firstLineChars="100"/>
    </w:pPr>
    <w:rPr>
      <w:kern w:val="2"/>
      <w:szCs w:val="24"/>
      <w:lang w:val="en-US"/>
    </w:rPr>
  </w:style>
  <w:style w:type="paragraph" w:styleId="17">
    <w:name w:val="Balloon Text"/>
    <w:basedOn w:val="1"/>
    <w:link w:val="35"/>
    <w:qFormat/>
    <w:uiPriority w:val="0"/>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8222"/>
        <w:tab w:val="right" w:leader="dot" w:pos="8296"/>
      </w:tabs>
      <w:spacing w:line="440" w:lineRule="exact"/>
    </w:pPr>
    <w:rPr>
      <w:b/>
      <w:bCs/>
      <w:kern w:val="2"/>
      <w:szCs w:val="24"/>
      <w:lang w:val="en-US"/>
    </w:rPr>
  </w:style>
  <w:style w:type="paragraph" w:styleId="21">
    <w:name w:val="toc 2"/>
    <w:basedOn w:val="1"/>
    <w:next w:val="1"/>
    <w:qFormat/>
    <w:uiPriority w:val="39"/>
    <w:pPr>
      <w:tabs>
        <w:tab w:val="left" w:pos="540"/>
        <w:tab w:val="left" w:pos="840"/>
        <w:tab w:val="right" w:leader="dot" w:pos="8222"/>
        <w:tab w:val="right" w:leader="dot" w:pos="8296"/>
      </w:tabs>
      <w:spacing w:line="440" w:lineRule="exact"/>
      <w:ind w:left="198"/>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ind w:firstLine="200" w:firstLineChars="200"/>
    </w:pPr>
    <w:rPr>
      <w:rFonts w:ascii="微软雅黑" w:hAnsi="微软雅黑" w:eastAsia="微软雅黑" w:cs="微软雅黑"/>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69E42-FFED-434A-B6D7-ABDBEBFE3EED}">
  <ds:schemaRefs/>
</ds:datastoreItem>
</file>

<file path=docProps/app.xml><?xml version="1.0" encoding="utf-8"?>
<Properties xmlns="http://schemas.openxmlformats.org/officeDocument/2006/extended-properties" xmlns:vt="http://schemas.openxmlformats.org/officeDocument/2006/docPropsVTypes">
  <Template>tmp24.dotx</Template>
  <Pages>10</Pages>
  <Words>1310</Words>
  <Characters>1797</Characters>
  <Lines>26</Lines>
  <Paragraphs>7</Paragraphs>
  <TotalTime>0</TotalTime>
  <ScaleCrop>false</ScaleCrop>
  <LinksUpToDate>false</LinksUpToDate>
  <CharactersWithSpaces>1860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2025-12-11T13:42:00Z</dcterms:created>
  <dc:creator>涟辰</dc:creator>
  <cp:lastModifiedBy>涟辰</cp:lastModifiedBy>
  <dcterms:modified xsi:type="dcterms:W3CDTF">2025-12-30T13:08:35Z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25400932633E4E909975E77D9E9DBFB1_12</vt:lpwstr>
  </property>
</Properties>
</file>